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AC7" w:rsidRPr="00D14E78" w:rsidRDefault="0098300E" w:rsidP="001925DE">
      <w:pPr>
        <w:spacing w:line="360" w:lineRule="auto"/>
        <w:ind w:firstLineChars="98" w:firstLine="235"/>
        <w:rPr>
          <w:rFonts w:ascii="黑体" w:eastAsia="黑体" w:hAnsi="宋体"/>
          <w:b/>
          <w:spacing w:val="70"/>
          <w:kern w:val="15"/>
          <w:sz w:val="72"/>
          <w:shd w:val="pct15" w:color="auto" w:fill="FFFFFF"/>
        </w:rPr>
      </w:pPr>
      <w:r>
        <w:rPr>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-99060</wp:posOffset>
            </wp:positionV>
            <wp:extent cx="1976120" cy="990600"/>
            <wp:effectExtent l="0" t="0" r="0" b="0"/>
            <wp:wrapSquare wrapText="bothSides"/>
            <wp:docPr id="17" name="图片 3" descr="ZA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ZAOS LOGO.jpg"/>
                    <pic:cNvPicPr>
                      <a:picLocks noChangeAspect="1" noChangeArrowheads="1"/>
                    </pic:cNvPicPr>
                  </pic:nvPicPr>
                  <pic:blipFill>
                    <a:blip r:embed="rId8">
                      <a:clrChange>
                        <a:clrFrom>
                          <a:srgbClr val="FFFFFF"/>
                        </a:clrFrom>
                        <a:clrTo>
                          <a:srgbClr val="FFFFFF">
                            <a:alpha val="0"/>
                          </a:srgbClr>
                        </a:clrTo>
                      </a:clrChange>
                      <a:lum contrast="-18000"/>
                    </a:blip>
                    <a:srcRect/>
                    <a:stretch>
                      <a:fillRect/>
                    </a:stretch>
                  </pic:blipFill>
                  <pic:spPr bwMode="auto">
                    <a:xfrm>
                      <a:off x="0" y="0"/>
                      <a:ext cx="1976120" cy="990600"/>
                    </a:xfrm>
                    <a:prstGeom prst="rect">
                      <a:avLst/>
                    </a:prstGeom>
                    <a:noFill/>
                  </pic:spPr>
                </pic:pic>
              </a:graphicData>
            </a:graphic>
          </wp:anchor>
        </w:drawing>
      </w:r>
      <w:r w:rsidR="00405AC7" w:rsidRPr="00D14E78">
        <w:rPr>
          <w:rFonts w:ascii="黑体" w:eastAsia="黑体" w:hAnsi="宋体" w:hint="eastAsia"/>
          <w:b/>
          <w:spacing w:val="70"/>
          <w:kern w:val="15"/>
          <w:sz w:val="72"/>
          <w:shd w:val="pct15" w:color="auto" w:fill="FFFFFF"/>
        </w:rPr>
        <w:t>珠海市服务外包行业协会</w:t>
      </w:r>
    </w:p>
    <w:p w:rsidR="00405AC7" w:rsidRPr="00D14E78" w:rsidRDefault="00405AC7" w:rsidP="00975387">
      <w:pPr>
        <w:ind w:firstLineChars="49" w:firstLine="203"/>
        <w:rPr>
          <w:rFonts w:ascii="Arial Black" w:eastAsia="Batang" w:hAnsi="Arial Black"/>
          <w:b/>
          <w:color w:val="006699"/>
          <w:spacing w:val="60"/>
          <w:sz w:val="30"/>
          <w:szCs w:val="30"/>
          <w:shd w:val="pct15" w:color="auto" w:fill="FFFFFF"/>
        </w:rPr>
      </w:pPr>
      <w:r w:rsidRPr="00D14E78">
        <w:rPr>
          <w:rFonts w:ascii="Arial Black" w:eastAsia="Batang" w:hAnsi="Arial Black"/>
          <w:b/>
          <w:color w:val="006699"/>
          <w:spacing w:val="60"/>
          <w:sz w:val="30"/>
          <w:szCs w:val="30"/>
          <w:shd w:val="pct15" w:color="auto" w:fill="FFFFFF"/>
        </w:rPr>
        <w:t>Zhuhai Association of Outsourcing Service</w:t>
      </w:r>
    </w:p>
    <w:p w:rsidR="00405AC7" w:rsidRDefault="00405AC7" w:rsidP="00F21918">
      <w:pPr>
        <w:rPr>
          <w:rFonts w:ascii="黑体" w:eastAsia="黑体"/>
          <w:b/>
          <w:bCs/>
          <w:color w:val="006699"/>
          <w:sz w:val="28"/>
          <w:szCs w:val="28"/>
          <w:shd w:val="clear" w:color="auto" w:fill="FFFFFF"/>
        </w:rPr>
      </w:pPr>
      <w:r w:rsidRPr="00483482">
        <w:rPr>
          <w:rFonts w:ascii="华文新魏" w:eastAsia="华文新魏" w:hint="eastAsia"/>
          <w:color w:val="006699"/>
          <w:sz w:val="160"/>
        </w:rPr>
        <w:t>简报</w:t>
      </w:r>
      <w:r w:rsidRPr="00483482">
        <w:rPr>
          <w:rFonts w:ascii="华文新魏" w:eastAsia="华文新魏"/>
          <w:color w:val="006699"/>
          <w:sz w:val="96"/>
        </w:rPr>
        <w:t xml:space="preserve"> </w:t>
      </w:r>
      <w:r>
        <w:rPr>
          <w:rFonts w:ascii="华文新魏" w:eastAsia="华文新魏"/>
          <w:color w:val="006699"/>
          <w:sz w:val="96"/>
        </w:rPr>
        <w:t xml:space="preserve">         </w:t>
      </w:r>
      <w:r>
        <w:rPr>
          <w:rFonts w:ascii="黑体" w:eastAsia="黑体" w:hint="eastAsia"/>
          <w:b/>
          <w:bCs/>
          <w:color w:val="006699"/>
          <w:sz w:val="28"/>
          <w:szCs w:val="28"/>
          <w:shd w:val="clear" w:color="auto" w:fill="FFFFFF"/>
        </w:rPr>
        <w:t>珠外协编</w:t>
      </w:r>
      <w:r>
        <w:rPr>
          <w:rFonts w:ascii="黑体" w:eastAsia="黑体"/>
          <w:b/>
          <w:bCs/>
          <w:color w:val="006699"/>
          <w:sz w:val="28"/>
          <w:szCs w:val="28"/>
          <w:shd w:val="clear" w:color="auto" w:fill="FFFFFF"/>
        </w:rPr>
        <w:t xml:space="preserve"> </w:t>
      </w:r>
      <w:r w:rsidRPr="00483482">
        <w:rPr>
          <w:rFonts w:ascii="黑体" w:eastAsia="黑体" w:hint="eastAsia"/>
          <w:b/>
          <w:bCs/>
          <w:color w:val="006699"/>
          <w:sz w:val="28"/>
          <w:szCs w:val="28"/>
          <w:shd w:val="clear" w:color="auto" w:fill="FFFFFF"/>
        </w:rPr>
        <w:t>【</w:t>
      </w:r>
      <w:r w:rsidRPr="00483482">
        <w:rPr>
          <w:rFonts w:ascii="黑体" w:eastAsia="黑体"/>
          <w:b/>
          <w:bCs/>
          <w:color w:val="006699"/>
          <w:sz w:val="28"/>
          <w:szCs w:val="28"/>
          <w:shd w:val="clear" w:color="auto" w:fill="FFFFFF"/>
        </w:rPr>
        <w:t>2014</w:t>
      </w:r>
      <w:r w:rsidRPr="00483482">
        <w:rPr>
          <w:rFonts w:ascii="黑体" w:eastAsia="黑体" w:hint="eastAsia"/>
          <w:b/>
          <w:bCs/>
          <w:color w:val="006699"/>
          <w:sz w:val="28"/>
          <w:szCs w:val="28"/>
          <w:shd w:val="clear" w:color="auto" w:fill="FFFFFF"/>
        </w:rPr>
        <w:t>年</w:t>
      </w:r>
      <w:r w:rsidR="00C05C8D">
        <w:rPr>
          <w:rFonts w:ascii="黑体" w:eastAsia="黑体" w:hint="eastAsia"/>
          <w:b/>
          <w:bCs/>
          <w:color w:val="006699"/>
          <w:sz w:val="28"/>
          <w:szCs w:val="28"/>
          <w:shd w:val="clear" w:color="auto" w:fill="FFFFFF"/>
        </w:rPr>
        <w:t>11</w:t>
      </w:r>
      <w:r w:rsidRPr="00483482">
        <w:rPr>
          <w:rFonts w:ascii="黑体" w:eastAsia="黑体" w:hint="eastAsia"/>
          <w:b/>
          <w:bCs/>
          <w:color w:val="006699"/>
          <w:sz w:val="28"/>
          <w:szCs w:val="28"/>
          <w:shd w:val="clear" w:color="auto" w:fill="FFFFFF"/>
        </w:rPr>
        <w:t>月报】</w:t>
      </w:r>
      <w:r w:rsidRPr="00483482">
        <w:rPr>
          <w:rFonts w:ascii="黑体" w:eastAsia="黑体"/>
          <w:b/>
          <w:bCs/>
          <w:color w:val="006699"/>
          <w:sz w:val="28"/>
          <w:szCs w:val="28"/>
          <w:shd w:val="clear" w:color="auto" w:fill="FFFFFF"/>
        </w:rPr>
        <w:t xml:space="preserve"> </w:t>
      </w:r>
      <w:r w:rsidRPr="00483482">
        <w:rPr>
          <w:rFonts w:ascii="黑体" w:eastAsia="黑体" w:hint="eastAsia"/>
          <w:b/>
          <w:bCs/>
          <w:color w:val="006699"/>
          <w:sz w:val="28"/>
          <w:szCs w:val="28"/>
          <w:shd w:val="clear" w:color="auto" w:fill="FFFFFF"/>
        </w:rPr>
        <w:t>总第</w:t>
      </w:r>
      <w:r w:rsidR="00C05C8D">
        <w:rPr>
          <w:rFonts w:ascii="黑体" w:eastAsia="黑体" w:hint="eastAsia"/>
          <w:b/>
          <w:bCs/>
          <w:color w:val="006699"/>
          <w:sz w:val="28"/>
          <w:szCs w:val="28"/>
          <w:shd w:val="clear" w:color="auto" w:fill="FFFFFF"/>
        </w:rPr>
        <w:t>3</w:t>
      </w:r>
      <w:r w:rsidRPr="00483482">
        <w:rPr>
          <w:rFonts w:ascii="黑体" w:eastAsia="黑体" w:hint="eastAsia"/>
          <w:b/>
          <w:bCs/>
          <w:color w:val="006699"/>
          <w:sz w:val="28"/>
          <w:szCs w:val="28"/>
          <w:shd w:val="clear" w:color="auto" w:fill="FFFFFF"/>
        </w:rPr>
        <w:t>期</w:t>
      </w:r>
    </w:p>
    <w:p w:rsidR="00C05C8D" w:rsidRDefault="00C05C8D" w:rsidP="006B0F5D">
      <w:pPr>
        <w:ind w:right="560" w:firstLineChars="4859" w:firstLine="10732"/>
        <w:rPr>
          <w:rFonts w:ascii="黑体" w:eastAsia="黑体"/>
          <w:b/>
          <w:bCs/>
          <w:color w:val="006699"/>
          <w:sz w:val="22"/>
          <w:szCs w:val="28"/>
          <w:shd w:val="clear" w:color="auto" w:fill="FFFFFF"/>
        </w:rPr>
      </w:pPr>
      <w:r>
        <w:rPr>
          <w:rFonts w:ascii="黑体" w:eastAsia="黑体" w:hint="eastAsia"/>
          <w:b/>
          <w:bCs/>
          <w:color w:val="006699"/>
          <w:sz w:val="22"/>
          <w:szCs w:val="28"/>
          <w:shd w:val="clear" w:color="auto" w:fill="FFFFFF"/>
        </w:rPr>
        <w:t>主  编</w:t>
      </w:r>
      <w:r w:rsidR="00525EF3">
        <w:rPr>
          <w:rFonts w:ascii="黑体" w:eastAsia="黑体" w:hint="eastAsia"/>
          <w:b/>
          <w:bCs/>
          <w:color w:val="006699"/>
          <w:sz w:val="22"/>
          <w:szCs w:val="28"/>
          <w:shd w:val="clear" w:color="auto" w:fill="FFFFFF"/>
        </w:rPr>
        <w:t>：</w:t>
      </w:r>
      <w:r w:rsidR="00525EF3" w:rsidRPr="00ED5A5F">
        <w:rPr>
          <w:rFonts w:ascii="黑体" w:eastAsia="黑体" w:hint="eastAsia"/>
          <w:b/>
          <w:bCs/>
          <w:color w:val="006699"/>
          <w:sz w:val="22"/>
          <w:szCs w:val="28"/>
          <w:shd w:val="clear" w:color="auto" w:fill="FFFFFF"/>
        </w:rPr>
        <w:t>王志华</w:t>
      </w:r>
      <w:r w:rsidR="00525EF3">
        <w:rPr>
          <w:rFonts w:ascii="黑体" w:eastAsia="黑体" w:hint="eastAsia"/>
          <w:b/>
          <w:bCs/>
          <w:color w:val="006699"/>
          <w:sz w:val="22"/>
          <w:szCs w:val="28"/>
          <w:shd w:val="clear" w:color="auto" w:fill="FFFFFF"/>
        </w:rPr>
        <w:t xml:space="preserve">  </w:t>
      </w:r>
    </w:p>
    <w:p w:rsidR="00525EF3" w:rsidRDefault="00C05C8D" w:rsidP="00525EF3">
      <w:pPr>
        <w:ind w:right="560" w:firstLineChars="4859" w:firstLine="10732"/>
        <w:rPr>
          <w:rFonts w:ascii="黑体" w:eastAsia="黑体"/>
          <w:b/>
          <w:bCs/>
          <w:color w:val="006699"/>
          <w:sz w:val="22"/>
          <w:szCs w:val="28"/>
          <w:shd w:val="clear" w:color="auto" w:fill="FFFFFF"/>
        </w:rPr>
      </w:pPr>
      <w:r>
        <w:rPr>
          <w:rFonts w:ascii="黑体" w:eastAsia="黑体" w:hint="eastAsia"/>
          <w:b/>
          <w:bCs/>
          <w:color w:val="006699"/>
          <w:sz w:val="22"/>
          <w:szCs w:val="28"/>
          <w:shd w:val="clear" w:color="auto" w:fill="FFFFFF"/>
        </w:rPr>
        <w:t>排  版:</w:t>
      </w:r>
      <w:r w:rsidR="006B0F5D">
        <w:rPr>
          <w:rFonts w:ascii="黑体" w:eastAsia="黑体" w:hint="eastAsia"/>
          <w:b/>
          <w:bCs/>
          <w:color w:val="006699"/>
          <w:sz w:val="22"/>
          <w:szCs w:val="28"/>
          <w:shd w:val="clear" w:color="auto" w:fill="FFFFFF"/>
        </w:rPr>
        <w:t xml:space="preserve">  </w:t>
      </w:r>
      <w:r w:rsidR="00525EF3" w:rsidRPr="00ED5A5F">
        <w:rPr>
          <w:rFonts w:ascii="黑体" w:eastAsia="黑体" w:hint="eastAsia"/>
          <w:b/>
          <w:bCs/>
          <w:color w:val="006699"/>
          <w:sz w:val="22"/>
          <w:szCs w:val="28"/>
          <w:shd w:val="clear" w:color="auto" w:fill="FFFFFF"/>
        </w:rPr>
        <w:t>徐阳丽</w:t>
      </w:r>
      <w:r>
        <w:rPr>
          <w:rFonts w:ascii="黑体" w:eastAsia="黑体" w:hint="eastAsia"/>
          <w:b/>
          <w:bCs/>
          <w:color w:val="006699"/>
          <w:sz w:val="22"/>
          <w:szCs w:val="28"/>
          <w:shd w:val="clear" w:color="auto" w:fill="FFFFFF"/>
        </w:rPr>
        <w:t xml:space="preserve"> 钟镇鸿</w:t>
      </w:r>
    </w:p>
    <w:p w:rsidR="00525EF3" w:rsidRDefault="00525EF3" w:rsidP="00525EF3">
      <w:pPr>
        <w:ind w:right="560" w:firstLineChars="4859" w:firstLine="10732"/>
        <w:rPr>
          <w:rFonts w:ascii="黑体" w:eastAsia="黑体"/>
          <w:b/>
          <w:bCs/>
          <w:color w:val="006699"/>
          <w:sz w:val="22"/>
          <w:szCs w:val="28"/>
          <w:shd w:val="clear" w:color="auto" w:fill="FFFFFF"/>
        </w:rPr>
      </w:pPr>
      <w:r>
        <w:rPr>
          <w:rFonts w:ascii="黑体" w:eastAsia="黑体" w:hint="eastAsia"/>
          <w:b/>
          <w:bCs/>
          <w:color w:val="006699"/>
          <w:sz w:val="22"/>
          <w:szCs w:val="28"/>
          <w:shd w:val="clear" w:color="auto" w:fill="FFFFFF"/>
        </w:rPr>
        <w:t>电  话：</w:t>
      </w:r>
      <w:r w:rsidR="006B0F5D">
        <w:rPr>
          <w:rFonts w:ascii="黑体" w:eastAsia="黑体" w:hint="eastAsia"/>
          <w:b/>
          <w:bCs/>
          <w:color w:val="006699"/>
          <w:sz w:val="22"/>
          <w:szCs w:val="28"/>
          <w:shd w:val="clear" w:color="auto" w:fill="FFFFFF"/>
        </w:rPr>
        <w:t xml:space="preserve"> </w:t>
      </w:r>
      <w:r>
        <w:rPr>
          <w:rFonts w:ascii="黑体" w:eastAsia="黑体" w:hint="eastAsia"/>
          <w:b/>
          <w:bCs/>
          <w:color w:val="006699"/>
          <w:sz w:val="22"/>
          <w:szCs w:val="28"/>
          <w:shd w:val="clear" w:color="auto" w:fill="FFFFFF"/>
        </w:rPr>
        <w:t>0756-3628126</w:t>
      </w:r>
    </w:p>
    <w:p w:rsidR="00525EF3" w:rsidRPr="00525EF3" w:rsidRDefault="00525EF3" w:rsidP="00525EF3">
      <w:pPr>
        <w:ind w:right="560" w:firstLineChars="4859" w:firstLine="10732"/>
        <w:rPr>
          <w:rFonts w:ascii="黑体" w:eastAsia="黑体"/>
          <w:b/>
          <w:bCs/>
          <w:color w:val="006699"/>
          <w:sz w:val="28"/>
          <w:szCs w:val="28"/>
          <w:shd w:val="clear" w:color="auto" w:fill="FFFFFF"/>
        </w:rPr>
      </w:pPr>
      <w:r>
        <w:rPr>
          <w:rFonts w:ascii="黑体" w:eastAsia="黑体" w:hint="eastAsia"/>
          <w:b/>
          <w:bCs/>
          <w:color w:val="006699"/>
          <w:sz w:val="22"/>
          <w:szCs w:val="28"/>
          <w:shd w:val="clear" w:color="auto" w:fill="FFFFFF"/>
        </w:rPr>
        <w:t>传  真：</w:t>
      </w:r>
      <w:r w:rsidR="006B0F5D">
        <w:rPr>
          <w:rFonts w:ascii="黑体" w:eastAsia="黑体" w:hint="eastAsia"/>
          <w:b/>
          <w:bCs/>
          <w:color w:val="006699"/>
          <w:sz w:val="22"/>
          <w:szCs w:val="28"/>
          <w:shd w:val="clear" w:color="auto" w:fill="FFFFFF"/>
        </w:rPr>
        <w:t xml:space="preserve"> </w:t>
      </w:r>
      <w:r>
        <w:rPr>
          <w:rFonts w:ascii="黑体" w:eastAsia="黑体" w:hint="eastAsia"/>
          <w:b/>
          <w:bCs/>
          <w:color w:val="006699"/>
          <w:sz w:val="22"/>
          <w:szCs w:val="28"/>
          <w:shd w:val="clear" w:color="auto" w:fill="FFFFFF"/>
        </w:rPr>
        <w:t xml:space="preserve">0756-3628125                                         </w:t>
      </w:r>
    </w:p>
    <w:p w:rsidR="00405AC7" w:rsidRPr="00C26132" w:rsidRDefault="00405AC7">
      <w:pPr>
        <w:rPr>
          <w:b/>
          <w:bCs/>
          <w:color w:val="000080"/>
          <w:szCs w:val="24"/>
          <w:u w:color="FFFFFF"/>
          <w:shd w:val="clear" w:color="auto" w:fill="FFFFFF"/>
        </w:rPr>
      </w:pPr>
      <w:r w:rsidRPr="00C26132">
        <w:rPr>
          <w:b/>
          <w:dstrike/>
          <w:color w:val="000080"/>
          <w:sz w:val="30"/>
          <w:u w:val="double" w:color="FFFFFF"/>
        </w:rPr>
        <w:t xml:space="preserve">                                                                                          </w:t>
      </w:r>
    </w:p>
    <w:p w:rsidR="00405AC7" w:rsidRDefault="00405AC7">
      <w:pPr>
        <w:rPr>
          <w:rFonts w:ascii="黑体" w:eastAsia="黑体"/>
          <w:b/>
          <w:bCs/>
          <w:color w:val="003366"/>
          <w:sz w:val="28"/>
          <w:szCs w:val="28"/>
          <w:shd w:val="clear" w:color="auto" w:fill="FFFFFF"/>
        </w:rPr>
      </w:pPr>
      <w:r w:rsidRPr="00C26132">
        <w:rPr>
          <w:rFonts w:ascii="黑体" w:eastAsia="黑体" w:hint="eastAsia"/>
          <w:b/>
          <w:bCs/>
          <w:color w:val="003366"/>
          <w:sz w:val="28"/>
          <w:szCs w:val="28"/>
          <w:shd w:val="clear" w:color="auto" w:fill="FFFFFF"/>
        </w:rPr>
        <w:t>目</w:t>
      </w:r>
      <w:r w:rsidRPr="00C26132">
        <w:rPr>
          <w:rFonts w:ascii="黑体" w:eastAsia="黑体"/>
          <w:b/>
          <w:bCs/>
          <w:color w:val="003366"/>
          <w:sz w:val="28"/>
          <w:szCs w:val="28"/>
          <w:shd w:val="clear" w:color="auto" w:fill="FFFFFF"/>
        </w:rPr>
        <w:t xml:space="preserve">  </w:t>
      </w:r>
      <w:r w:rsidRPr="00C26132">
        <w:rPr>
          <w:rFonts w:ascii="黑体" w:eastAsia="黑体" w:hint="eastAsia"/>
          <w:b/>
          <w:bCs/>
          <w:color w:val="003366"/>
          <w:sz w:val="28"/>
          <w:szCs w:val="28"/>
          <w:shd w:val="clear" w:color="auto" w:fill="FFFFFF"/>
        </w:rPr>
        <w:t>录</w:t>
      </w:r>
      <w:r w:rsidRPr="00C26132">
        <w:rPr>
          <w:rFonts w:ascii="黑体" w:eastAsia="黑体"/>
          <w:b/>
          <w:bCs/>
          <w:color w:val="003366"/>
          <w:sz w:val="28"/>
          <w:szCs w:val="28"/>
          <w:shd w:val="clear" w:color="auto" w:fill="FFFFFF"/>
        </w:rPr>
        <w:t xml:space="preserve"> CONTENTS</w:t>
      </w:r>
    </w:p>
    <w:p w:rsidR="00FC3474" w:rsidRPr="00FC3474" w:rsidRDefault="00FC3474" w:rsidP="00FC3474">
      <w:pPr>
        <w:spacing w:line="360" w:lineRule="auto"/>
        <w:rPr>
          <w:rFonts w:ascii="黑体" w:eastAsia="黑体"/>
          <w:b/>
          <w:bCs/>
          <w:color w:val="000000"/>
          <w:sz w:val="28"/>
          <w:szCs w:val="28"/>
          <w:shd w:val="clear" w:color="auto" w:fill="FFFFFF"/>
        </w:rPr>
      </w:pPr>
      <w:r w:rsidRPr="00FC3474">
        <w:rPr>
          <w:rFonts w:ascii="黑体" w:eastAsia="黑体" w:hint="eastAsia"/>
          <w:b/>
          <w:bCs/>
          <w:color w:val="000000"/>
          <w:sz w:val="28"/>
          <w:szCs w:val="28"/>
          <w:shd w:val="clear" w:color="auto" w:fill="FFFFFF"/>
        </w:rPr>
        <w:t>■</w:t>
      </w:r>
      <w:r w:rsidRPr="00FC3474">
        <w:rPr>
          <w:rFonts w:ascii="黑体" w:eastAsia="黑体"/>
          <w:b/>
          <w:bCs/>
          <w:color w:val="000000"/>
          <w:sz w:val="28"/>
          <w:szCs w:val="28"/>
          <w:shd w:val="clear" w:color="auto" w:fill="FFFFFF"/>
        </w:rPr>
        <w:t xml:space="preserve"> </w:t>
      </w:r>
      <w:r w:rsidRPr="00FC3474">
        <w:rPr>
          <w:rFonts w:ascii="黑体" w:eastAsia="黑体" w:hint="eastAsia"/>
          <w:b/>
          <w:bCs/>
          <w:color w:val="000000"/>
          <w:sz w:val="28"/>
          <w:szCs w:val="28"/>
          <w:shd w:val="clear" w:color="auto" w:fill="FFFFFF"/>
        </w:rPr>
        <w:t>全国特色园区集锦</w:t>
      </w:r>
    </w:p>
    <w:p w:rsidR="00FC3474" w:rsidRPr="005A04DD" w:rsidRDefault="00FE2E13" w:rsidP="00FC3474">
      <w:pPr>
        <w:spacing w:line="480" w:lineRule="auto"/>
        <w:ind w:leftChars="200" w:left="480"/>
        <w:rPr>
          <w:b/>
          <w:sz w:val="28"/>
          <w:szCs w:val="28"/>
        </w:rPr>
      </w:pPr>
      <w:r w:rsidRPr="00FC3474">
        <w:rPr>
          <w:b/>
          <w:sz w:val="28"/>
          <w:szCs w:val="28"/>
        </w:rPr>
        <w:fldChar w:fldCharType="begin"/>
      </w:r>
      <w:r w:rsidR="00FC3474" w:rsidRPr="00FC3474">
        <w:rPr>
          <w:b/>
          <w:sz w:val="28"/>
          <w:szCs w:val="28"/>
        </w:rPr>
        <w:instrText xml:space="preserve"> TOC \o "1-4" \n \h \z \u </w:instrText>
      </w:r>
      <w:r w:rsidRPr="00FC3474">
        <w:rPr>
          <w:b/>
          <w:sz w:val="28"/>
          <w:szCs w:val="28"/>
        </w:rPr>
        <w:fldChar w:fldCharType="separate"/>
      </w:r>
      <w:hyperlink w:anchor="_Toc402948426" w:history="1">
        <w:r w:rsidR="00FC3474" w:rsidRPr="005A04DD">
          <w:rPr>
            <w:rFonts w:hint="eastAsia"/>
            <w:b/>
            <w:sz w:val="28"/>
            <w:szCs w:val="28"/>
          </w:rPr>
          <w:t>中关村软件园</w:t>
        </w:r>
      </w:hyperlink>
    </w:p>
    <w:p w:rsidR="00FC3474" w:rsidRPr="005A04DD" w:rsidRDefault="00FE2E13" w:rsidP="00FC3474">
      <w:pPr>
        <w:spacing w:line="480" w:lineRule="auto"/>
        <w:ind w:leftChars="200" w:left="480"/>
        <w:rPr>
          <w:b/>
          <w:sz w:val="28"/>
          <w:szCs w:val="28"/>
        </w:rPr>
      </w:pPr>
      <w:hyperlink w:anchor="_Toc402948427" w:history="1">
        <w:r w:rsidR="00FC3474" w:rsidRPr="005A04DD">
          <w:rPr>
            <w:rFonts w:hint="eastAsia"/>
            <w:b/>
            <w:sz w:val="28"/>
            <w:szCs w:val="28"/>
          </w:rPr>
          <w:t>大连软件园</w:t>
        </w:r>
      </w:hyperlink>
    </w:p>
    <w:p w:rsidR="00FC3474" w:rsidRPr="005A04DD" w:rsidRDefault="00FE2E13" w:rsidP="00FC3474">
      <w:pPr>
        <w:spacing w:line="480" w:lineRule="auto"/>
        <w:ind w:leftChars="200" w:left="480"/>
        <w:rPr>
          <w:b/>
          <w:sz w:val="28"/>
          <w:szCs w:val="28"/>
        </w:rPr>
      </w:pPr>
      <w:hyperlink w:anchor="_Toc402948428" w:history="1">
        <w:r w:rsidR="00FC3474" w:rsidRPr="005A04DD">
          <w:rPr>
            <w:rFonts w:hint="eastAsia"/>
            <w:b/>
            <w:sz w:val="28"/>
            <w:szCs w:val="28"/>
          </w:rPr>
          <w:t>成都天府软件园</w:t>
        </w:r>
      </w:hyperlink>
    </w:p>
    <w:p w:rsidR="00FC3474" w:rsidRPr="005A04DD" w:rsidRDefault="00FE2E13" w:rsidP="00FC3474">
      <w:pPr>
        <w:spacing w:line="480" w:lineRule="auto"/>
        <w:ind w:leftChars="200" w:left="480"/>
        <w:rPr>
          <w:b/>
          <w:sz w:val="28"/>
          <w:szCs w:val="28"/>
        </w:rPr>
      </w:pPr>
      <w:hyperlink w:anchor="_Toc402948429" w:history="1">
        <w:r w:rsidR="00FC3474" w:rsidRPr="005A04DD">
          <w:rPr>
            <w:rFonts w:hint="eastAsia"/>
            <w:b/>
            <w:sz w:val="28"/>
            <w:szCs w:val="28"/>
          </w:rPr>
          <w:t>上海张江生物医药园区</w:t>
        </w:r>
      </w:hyperlink>
    </w:p>
    <w:p w:rsidR="00FC3474" w:rsidRPr="005A04DD" w:rsidRDefault="00FE2E13" w:rsidP="00FC3474">
      <w:pPr>
        <w:spacing w:line="480" w:lineRule="auto"/>
        <w:ind w:leftChars="200" w:left="480"/>
        <w:rPr>
          <w:b/>
          <w:sz w:val="28"/>
          <w:szCs w:val="28"/>
        </w:rPr>
      </w:pPr>
      <w:hyperlink w:anchor="_Toc402948430" w:history="1">
        <w:r w:rsidR="00FC3474" w:rsidRPr="005A04DD">
          <w:rPr>
            <w:rFonts w:hint="eastAsia"/>
            <w:b/>
            <w:sz w:val="28"/>
            <w:szCs w:val="28"/>
          </w:rPr>
          <w:t>重庆永川金融外包产业基地</w:t>
        </w:r>
      </w:hyperlink>
    </w:p>
    <w:p w:rsidR="00FC3474" w:rsidRPr="005A04DD" w:rsidRDefault="00FC3474" w:rsidP="005A04DD">
      <w:pPr>
        <w:spacing w:line="480" w:lineRule="auto"/>
        <w:rPr>
          <w:b/>
          <w:sz w:val="28"/>
          <w:szCs w:val="28"/>
        </w:rPr>
      </w:pPr>
      <w:r w:rsidRPr="005A04DD">
        <w:rPr>
          <w:rFonts w:hint="eastAsia"/>
          <w:b/>
          <w:sz w:val="28"/>
          <w:szCs w:val="28"/>
        </w:rPr>
        <w:t>■</w:t>
      </w:r>
      <w:r w:rsidRPr="005A04DD">
        <w:rPr>
          <w:b/>
          <w:sz w:val="28"/>
          <w:szCs w:val="28"/>
        </w:rPr>
        <w:t xml:space="preserve"> </w:t>
      </w:r>
      <w:r w:rsidRPr="005A04DD">
        <w:rPr>
          <w:rFonts w:hint="eastAsia"/>
          <w:b/>
          <w:sz w:val="28"/>
          <w:szCs w:val="28"/>
        </w:rPr>
        <w:t>全国企业优秀案例分享</w:t>
      </w:r>
      <w:r w:rsidRPr="005A04DD">
        <w:rPr>
          <w:rFonts w:hint="eastAsia"/>
          <w:b/>
          <w:sz w:val="28"/>
          <w:szCs w:val="28"/>
        </w:rPr>
        <w:t xml:space="preserve"> </w:t>
      </w:r>
    </w:p>
    <w:p w:rsidR="00FC3474" w:rsidRPr="005A04DD" w:rsidRDefault="00FE2E13" w:rsidP="00FC3474">
      <w:pPr>
        <w:spacing w:line="480" w:lineRule="auto"/>
        <w:ind w:leftChars="200" w:left="480"/>
        <w:rPr>
          <w:b/>
          <w:sz w:val="28"/>
          <w:szCs w:val="28"/>
        </w:rPr>
      </w:pPr>
      <w:hyperlink w:anchor="_Toc402948431" w:history="1">
        <w:r w:rsidR="00FC3474" w:rsidRPr="005A04DD">
          <w:rPr>
            <w:rFonts w:hint="eastAsia"/>
            <w:b/>
            <w:sz w:val="28"/>
            <w:szCs w:val="28"/>
          </w:rPr>
          <w:t>东软：企业转型</w:t>
        </w:r>
      </w:hyperlink>
    </w:p>
    <w:p w:rsidR="00FC3474" w:rsidRPr="005A04DD" w:rsidRDefault="00FE2E13" w:rsidP="00FC3474">
      <w:pPr>
        <w:spacing w:line="480" w:lineRule="auto"/>
        <w:ind w:leftChars="200" w:left="480"/>
        <w:rPr>
          <w:b/>
          <w:sz w:val="28"/>
          <w:szCs w:val="28"/>
        </w:rPr>
      </w:pPr>
      <w:hyperlink w:anchor="_Toc402948432" w:history="1">
        <w:r w:rsidR="00FC3474" w:rsidRPr="005A04DD">
          <w:rPr>
            <w:rFonts w:hint="eastAsia"/>
            <w:b/>
            <w:sz w:val="28"/>
            <w:szCs w:val="28"/>
          </w:rPr>
          <w:t>中软国际</w:t>
        </w:r>
        <w:r w:rsidR="00FC3474" w:rsidRPr="005A04DD">
          <w:rPr>
            <w:b/>
            <w:sz w:val="28"/>
            <w:szCs w:val="28"/>
          </w:rPr>
          <w:t xml:space="preserve"> </w:t>
        </w:r>
        <w:r w:rsidR="00FC3474" w:rsidRPr="005A04DD">
          <w:rPr>
            <w:rFonts w:hint="eastAsia"/>
            <w:b/>
            <w:sz w:val="28"/>
            <w:szCs w:val="28"/>
          </w:rPr>
          <w:t>：众包平台</w:t>
        </w:r>
      </w:hyperlink>
    </w:p>
    <w:p w:rsidR="00FC3474" w:rsidRPr="005A04DD" w:rsidRDefault="00FE2E13" w:rsidP="00FC3474">
      <w:pPr>
        <w:spacing w:line="480" w:lineRule="auto"/>
        <w:ind w:leftChars="200" w:left="480"/>
        <w:rPr>
          <w:b/>
          <w:sz w:val="28"/>
          <w:szCs w:val="28"/>
        </w:rPr>
      </w:pPr>
      <w:hyperlink w:anchor="_Toc402948433" w:history="1">
        <w:r w:rsidR="00FC3474" w:rsidRPr="005A04DD">
          <w:rPr>
            <w:rFonts w:hint="eastAsia"/>
            <w:b/>
            <w:sz w:val="28"/>
            <w:szCs w:val="28"/>
          </w:rPr>
          <w:t>大连华信</w:t>
        </w:r>
        <w:r w:rsidR="00FC3474" w:rsidRPr="005A04DD">
          <w:rPr>
            <w:b/>
            <w:sz w:val="28"/>
            <w:szCs w:val="28"/>
          </w:rPr>
          <w:t xml:space="preserve"> </w:t>
        </w:r>
        <w:r w:rsidR="00FC3474" w:rsidRPr="005A04DD">
          <w:rPr>
            <w:rFonts w:hint="eastAsia"/>
            <w:b/>
            <w:sz w:val="28"/>
            <w:szCs w:val="28"/>
          </w:rPr>
          <w:t>：软硬一体化</w:t>
        </w:r>
      </w:hyperlink>
    </w:p>
    <w:p w:rsidR="00FC3474" w:rsidRPr="005A04DD" w:rsidRDefault="00FE2E13" w:rsidP="00FC3474">
      <w:pPr>
        <w:spacing w:line="480" w:lineRule="auto"/>
        <w:ind w:leftChars="200" w:left="480"/>
        <w:rPr>
          <w:b/>
          <w:sz w:val="28"/>
          <w:szCs w:val="28"/>
        </w:rPr>
      </w:pPr>
      <w:hyperlink w:anchor="_Toc402948434" w:history="1">
        <w:r w:rsidR="00FC3474" w:rsidRPr="005A04DD">
          <w:rPr>
            <w:rFonts w:hint="eastAsia"/>
            <w:b/>
            <w:sz w:val="28"/>
            <w:szCs w:val="28"/>
          </w:rPr>
          <w:t>博彦科技</w:t>
        </w:r>
      </w:hyperlink>
      <w:r w:rsidR="005A04DD" w:rsidRPr="005A04DD">
        <w:rPr>
          <w:rFonts w:hint="eastAsia"/>
          <w:b/>
          <w:sz w:val="28"/>
          <w:szCs w:val="28"/>
        </w:rPr>
        <w:t>：专注及持续创新</w:t>
      </w:r>
    </w:p>
    <w:p w:rsidR="00FC3474" w:rsidRPr="00FC3474" w:rsidRDefault="00FE2E13" w:rsidP="00FC3474">
      <w:pPr>
        <w:spacing w:line="480" w:lineRule="auto"/>
        <w:ind w:leftChars="200" w:left="480"/>
        <w:rPr>
          <w:b/>
          <w:sz w:val="28"/>
          <w:szCs w:val="28"/>
        </w:rPr>
      </w:pPr>
      <w:hyperlink w:anchor="_Toc402948435" w:history="1">
        <w:r w:rsidR="00FC3474" w:rsidRPr="00FC3474">
          <w:rPr>
            <w:rFonts w:hint="eastAsia"/>
            <w:b/>
            <w:sz w:val="28"/>
            <w:szCs w:val="28"/>
          </w:rPr>
          <w:t>中盈蓝海</w:t>
        </w:r>
        <w:r w:rsidR="00FC3474" w:rsidRPr="00FC3474">
          <w:rPr>
            <w:b/>
            <w:sz w:val="28"/>
            <w:szCs w:val="28"/>
          </w:rPr>
          <w:t xml:space="preserve"> </w:t>
        </w:r>
        <w:r w:rsidR="00FC3474" w:rsidRPr="00FC3474">
          <w:rPr>
            <w:rFonts w:hint="eastAsia"/>
            <w:b/>
            <w:sz w:val="28"/>
            <w:szCs w:val="28"/>
          </w:rPr>
          <w:t>：技术组合及创新</w:t>
        </w:r>
      </w:hyperlink>
    </w:p>
    <w:p w:rsidR="00FC3474" w:rsidRPr="00FC3474" w:rsidRDefault="00FE2E13" w:rsidP="00FC3474">
      <w:pPr>
        <w:spacing w:line="480" w:lineRule="auto"/>
        <w:ind w:leftChars="200" w:left="480"/>
        <w:rPr>
          <w:b/>
          <w:sz w:val="28"/>
          <w:szCs w:val="28"/>
        </w:rPr>
      </w:pPr>
      <w:hyperlink w:anchor="_Toc402948436" w:history="1">
        <w:r w:rsidR="00FC3474" w:rsidRPr="00FC3474">
          <w:rPr>
            <w:rFonts w:hint="eastAsia"/>
            <w:b/>
            <w:sz w:val="28"/>
            <w:szCs w:val="28"/>
          </w:rPr>
          <w:t>药明康德</w:t>
        </w:r>
        <w:r w:rsidR="00FC3474" w:rsidRPr="00FC3474">
          <w:rPr>
            <w:b/>
            <w:sz w:val="28"/>
            <w:szCs w:val="28"/>
          </w:rPr>
          <w:t xml:space="preserve"> </w:t>
        </w:r>
        <w:r w:rsidR="00FC3474" w:rsidRPr="00FC3474">
          <w:rPr>
            <w:rFonts w:hint="eastAsia"/>
            <w:b/>
            <w:sz w:val="28"/>
            <w:szCs w:val="28"/>
          </w:rPr>
          <w:t>：专注细分领域内做深</w:t>
        </w:r>
      </w:hyperlink>
    </w:p>
    <w:p w:rsidR="00FC3474" w:rsidRPr="00FC3474" w:rsidRDefault="00FC3474" w:rsidP="00FC3474">
      <w:pPr>
        <w:spacing w:line="360" w:lineRule="auto"/>
        <w:rPr>
          <w:rFonts w:ascii="黑体" w:eastAsia="黑体"/>
          <w:b/>
          <w:bCs/>
          <w:color w:val="000000"/>
          <w:sz w:val="28"/>
          <w:szCs w:val="28"/>
          <w:shd w:val="clear" w:color="auto" w:fill="FFFFFF"/>
        </w:rPr>
      </w:pPr>
      <w:r w:rsidRPr="00FC3474">
        <w:rPr>
          <w:rFonts w:ascii="黑体" w:eastAsia="黑体" w:hint="eastAsia"/>
          <w:b/>
          <w:bCs/>
          <w:color w:val="000000"/>
          <w:sz w:val="28"/>
          <w:szCs w:val="28"/>
          <w:shd w:val="clear" w:color="auto" w:fill="FFFFFF"/>
        </w:rPr>
        <w:t>■</w:t>
      </w:r>
      <w:r w:rsidRPr="00FC3474">
        <w:rPr>
          <w:rFonts w:ascii="黑体" w:eastAsia="黑体"/>
          <w:b/>
          <w:bCs/>
          <w:color w:val="000000"/>
          <w:sz w:val="28"/>
          <w:szCs w:val="28"/>
          <w:shd w:val="clear" w:color="auto" w:fill="FFFFFF"/>
        </w:rPr>
        <w:t xml:space="preserve"> </w:t>
      </w:r>
      <w:r w:rsidRPr="00FC3474">
        <w:rPr>
          <w:rFonts w:ascii="黑体" w:eastAsia="黑体" w:hint="eastAsia"/>
          <w:b/>
          <w:bCs/>
          <w:color w:val="000000"/>
          <w:sz w:val="28"/>
          <w:szCs w:val="28"/>
          <w:shd w:val="clear" w:color="auto" w:fill="FFFFFF"/>
        </w:rPr>
        <w:t>协会动态</w:t>
      </w:r>
    </w:p>
    <w:p w:rsidR="00FC3474" w:rsidRPr="00FC3474" w:rsidRDefault="00FE2E13" w:rsidP="00FC3474">
      <w:pPr>
        <w:spacing w:line="480" w:lineRule="auto"/>
        <w:ind w:leftChars="200" w:left="480"/>
        <w:rPr>
          <w:b/>
          <w:sz w:val="28"/>
          <w:szCs w:val="28"/>
        </w:rPr>
      </w:pPr>
      <w:hyperlink w:anchor="_Toc402948437" w:history="1">
        <w:r w:rsidR="00FC3474" w:rsidRPr="00FC3474">
          <w:rPr>
            <w:rFonts w:hint="eastAsia"/>
            <w:b/>
            <w:sz w:val="28"/>
            <w:szCs w:val="28"/>
          </w:rPr>
          <w:t>协会秘书处</w:t>
        </w:r>
        <w:r w:rsidR="00FC3474" w:rsidRPr="00FC3474">
          <w:rPr>
            <w:b/>
            <w:sz w:val="28"/>
            <w:szCs w:val="28"/>
          </w:rPr>
          <w:t>10</w:t>
        </w:r>
        <w:r w:rsidR="00FC3474" w:rsidRPr="00FC3474">
          <w:rPr>
            <w:rFonts w:hint="eastAsia"/>
            <w:b/>
            <w:sz w:val="28"/>
            <w:szCs w:val="28"/>
          </w:rPr>
          <w:t>月走访</w:t>
        </w:r>
        <w:r w:rsidR="00FC3474" w:rsidRPr="00FC3474">
          <w:rPr>
            <w:b/>
            <w:sz w:val="28"/>
            <w:szCs w:val="28"/>
          </w:rPr>
          <w:t>13</w:t>
        </w:r>
        <w:r w:rsidR="00FC3474" w:rsidRPr="00FC3474">
          <w:rPr>
            <w:rFonts w:hint="eastAsia"/>
            <w:b/>
            <w:sz w:val="28"/>
            <w:szCs w:val="28"/>
          </w:rPr>
          <w:t>家企业</w:t>
        </w:r>
      </w:hyperlink>
    </w:p>
    <w:p w:rsidR="00FC3474" w:rsidRPr="00FC3474" w:rsidRDefault="00FE2E13" w:rsidP="00FC3474">
      <w:pPr>
        <w:spacing w:line="480" w:lineRule="auto"/>
        <w:ind w:leftChars="200" w:left="480"/>
        <w:rPr>
          <w:b/>
          <w:sz w:val="28"/>
          <w:szCs w:val="28"/>
        </w:rPr>
      </w:pPr>
      <w:hyperlink w:anchor="_Toc402948438" w:history="1">
        <w:r w:rsidR="00FC3474" w:rsidRPr="00FC3474">
          <w:rPr>
            <w:rFonts w:hint="eastAsia"/>
            <w:b/>
            <w:sz w:val="28"/>
            <w:szCs w:val="28"/>
          </w:rPr>
          <w:t>协会组织企业进行第一期省产业专项资金申报培训活动</w:t>
        </w:r>
      </w:hyperlink>
    </w:p>
    <w:p w:rsidR="00FC3474" w:rsidRPr="00FC3474" w:rsidRDefault="00FE2E13" w:rsidP="00FC3474">
      <w:pPr>
        <w:spacing w:line="480" w:lineRule="auto"/>
        <w:ind w:leftChars="200" w:left="480"/>
        <w:rPr>
          <w:b/>
          <w:sz w:val="28"/>
          <w:szCs w:val="28"/>
        </w:rPr>
      </w:pPr>
      <w:hyperlink w:anchor="_Toc402948439" w:history="1">
        <w:r w:rsidR="00FC3474" w:rsidRPr="00FC3474">
          <w:rPr>
            <w:rFonts w:hint="eastAsia"/>
            <w:b/>
            <w:sz w:val="28"/>
            <w:szCs w:val="28"/>
          </w:rPr>
          <w:t>广东省服务外包产业促进会一行到珠海调研</w:t>
        </w:r>
      </w:hyperlink>
    </w:p>
    <w:p w:rsidR="00FC3474" w:rsidRDefault="00FE2E13" w:rsidP="00FC3474">
      <w:pPr>
        <w:spacing w:line="480" w:lineRule="auto"/>
        <w:ind w:leftChars="200" w:left="480"/>
        <w:rPr>
          <w:b/>
          <w:sz w:val="28"/>
          <w:szCs w:val="28"/>
        </w:rPr>
      </w:pPr>
      <w:hyperlink w:anchor="_Toc402948440" w:history="1">
        <w:r w:rsidR="00FC3474" w:rsidRPr="00FC3474">
          <w:rPr>
            <w:rFonts w:hint="eastAsia"/>
            <w:b/>
            <w:sz w:val="28"/>
            <w:szCs w:val="28"/>
          </w:rPr>
          <w:t>协会秘书处走访非会员企业</w:t>
        </w:r>
      </w:hyperlink>
    </w:p>
    <w:p w:rsidR="006B0F5D" w:rsidRDefault="006B0F5D" w:rsidP="00FC3474">
      <w:pPr>
        <w:spacing w:line="480" w:lineRule="auto"/>
        <w:ind w:leftChars="200" w:left="480"/>
        <w:rPr>
          <w:b/>
          <w:sz w:val="28"/>
          <w:szCs w:val="28"/>
        </w:rPr>
      </w:pPr>
    </w:p>
    <w:p w:rsidR="006B0F5D" w:rsidRPr="00FC3474" w:rsidRDefault="006B0F5D" w:rsidP="00FC3474">
      <w:pPr>
        <w:spacing w:line="480" w:lineRule="auto"/>
        <w:ind w:leftChars="200" w:left="480"/>
        <w:rPr>
          <w:b/>
          <w:sz w:val="28"/>
          <w:szCs w:val="28"/>
        </w:rPr>
      </w:pPr>
    </w:p>
    <w:p w:rsidR="00FC3474" w:rsidRPr="006B0F5D" w:rsidRDefault="00FC3474" w:rsidP="006B0F5D">
      <w:pPr>
        <w:spacing w:line="360" w:lineRule="auto"/>
        <w:rPr>
          <w:rFonts w:ascii="黑体" w:eastAsia="黑体"/>
          <w:b/>
          <w:bCs/>
          <w:color w:val="000000"/>
          <w:sz w:val="28"/>
          <w:szCs w:val="28"/>
          <w:shd w:val="clear" w:color="auto" w:fill="FFFFFF"/>
        </w:rPr>
      </w:pPr>
      <w:r w:rsidRPr="00FC3474">
        <w:rPr>
          <w:rFonts w:ascii="黑体" w:eastAsia="黑体" w:hint="eastAsia"/>
          <w:b/>
          <w:bCs/>
          <w:color w:val="000000"/>
          <w:sz w:val="28"/>
          <w:szCs w:val="28"/>
          <w:shd w:val="clear" w:color="auto" w:fill="FFFFFF"/>
        </w:rPr>
        <w:lastRenderedPageBreak/>
        <w:t>■</w:t>
      </w:r>
      <w:r w:rsidRPr="00FC3474">
        <w:rPr>
          <w:rFonts w:ascii="黑体" w:eastAsia="黑体"/>
          <w:b/>
          <w:bCs/>
          <w:color w:val="000000"/>
          <w:sz w:val="28"/>
          <w:szCs w:val="28"/>
          <w:shd w:val="clear" w:color="auto" w:fill="FFFFFF"/>
        </w:rPr>
        <w:t xml:space="preserve"> </w:t>
      </w:r>
      <w:r w:rsidRPr="00FC3474">
        <w:rPr>
          <w:rFonts w:ascii="黑体" w:eastAsia="黑体" w:hint="eastAsia"/>
          <w:b/>
          <w:bCs/>
          <w:color w:val="000000"/>
          <w:sz w:val="28"/>
          <w:szCs w:val="28"/>
          <w:shd w:val="clear" w:color="auto" w:fill="FFFFFF"/>
        </w:rPr>
        <w:t>政策法规</w:t>
      </w:r>
    </w:p>
    <w:p w:rsidR="00FC3474" w:rsidRPr="00FC3474" w:rsidRDefault="00FE2E13" w:rsidP="00FC3474">
      <w:pPr>
        <w:spacing w:line="480" w:lineRule="auto"/>
        <w:ind w:leftChars="200" w:left="480"/>
        <w:rPr>
          <w:b/>
          <w:sz w:val="28"/>
          <w:szCs w:val="28"/>
        </w:rPr>
      </w:pPr>
      <w:hyperlink w:anchor="_Toc402948441" w:history="1">
        <w:r w:rsidR="00FC3474" w:rsidRPr="00FC3474">
          <w:rPr>
            <w:rFonts w:hint="eastAsia"/>
            <w:b/>
            <w:sz w:val="28"/>
            <w:szCs w:val="28"/>
          </w:rPr>
          <w:t>财库</w:t>
        </w:r>
        <w:r w:rsidR="00FC3474" w:rsidRPr="00FC3474">
          <w:rPr>
            <w:b/>
            <w:sz w:val="28"/>
            <w:szCs w:val="28"/>
          </w:rPr>
          <w:t>[2014]37</w:t>
        </w:r>
        <w:r w:rsidR="00FC3474" w:rsidRPr="00FC3474">
          <w:rPr>
            <w:rFonts w:hint="eastAsia"/>
            <w:b/>
            <w:sz w:val="28"/>
            <w:szCs w:val="28"/>
          </w:rPr>
          <w:t>号</w:t>
        </w:r>
        <w:r w:rsidR="00FC3474" w:rsidRPr="00FC3474">
          <w:rPr>
            <w:b/>
            <w:sz w:val="28"/>
            <w:szCs w:val="28"/>
          </w:rPr>
          <w:t xml:space="preserve"> </w:t>
        </w:r>
        <w:r w:rsidR="00FC3474" w:rsidRPr="00FC3474">
          <w:rPr>
            <w:rFonts w:hint="eastAsia"/>
            <w:b/>
            <w:sz w:val="28"/>
            <w:szCs w:val="28"/>
          </w:rPr>
          <w:t>《关于推进和完善服务项目政府采购有关问题的通知》</w:t>
        </w:r>
      </w:hyperlink>
    </w:p>
    <w:p w:rsidR="00FC3474" w:rsidRPr="00FC3474" w:rsidRDefault="00FE2E13" w:rsidP="00FC3474">
      <w:pPr>
        <w:spacing w:line="480" w:lineRule="auto"/>
        <w:ind w:leftChars="200" w:left="480"/>
        <w:rPr>
          <w:b/>
          <w:sz w:val="28"/>
          <w:szCs w:val="28"/>
        </w:rPr>
      </w:pPr>
      <w:hyperlink w:anchor="_Toc402948442" w:history="1">
        <w:r w:rsidR="00FC3474" w:rsidRPr="00FC3474">
          <w:rPr>
            <w:rFonts w:hint="eastAsia"/>
            <w:b/>
            <w:sz w:val="28"/>
            <w:szCs w:val="28"/>
          </w:rPr>
          <w:t>“财库</w:t>
        </w:r>
        <w:r w:rsidR="00FC3474" w:rsidRPr="00FC3474">
          <w:rPr>
            <w:b/>
            <w:sz w:val="28"/>
            <w:szCs w:val="28"/>
          </w:rPr>
          <w:t>[2014]37</w:t>
        </w:r>
        <w:r w:rsidR="00FC3474" w:rsidRPr="00FC3474">
          <w:rPr>
            <w:rFonts w:hint="eastAsia"/>
            <w:b/>
            <w:sz w:val="28"/>
            <w:szCs w:val="28"/>
          </w:rPr>
          <w:t>号</w:t>
        </w:r>
        <w:r w:rsidR="00FC3474" w:rsidRPr="00FC3474">
          <w:rPr>
            <w:b/>
            <w:sz w:val="28"/>
            <w:szCs w:val="28"/>
          </w:rPr>
          <w:t xml:space="preserve"> </w:t>
        </w:r>
        <w:r w:rsidR="00FC3474" w:rsidRPr="00FC3474">
          <w:rPr>
            <w:rFonts w:hint="eastAsia"/>
            <w:b/>
            <w:sz w:val="28"/>
            <w:szCs w:val="28"/>
          </w:rPr>
          <w:t>关于推进和完善服务项目政府采购有关问题的通知</w:t>
        </w:r>
        <w:r w:rsidR="00FC3474" w:rsidRPr="00FC3474">
          <w:rPr>
            <w:b/>
            <w:sz w:val="28"/>
            <w:szCs w:val="28"/>
          </w:rPr>
          <w:t xml:space="preserve"> </w:t>
        </w:r>
        <w:r w:rsidR="00FC3474" w:rsidRPr="00FC3474">
          <w:rPr>
            <w:rFonts w:hint="eastAsia"/>
            <w:b/>
            <w:sz w:val="28"/>
            <w:szCs w:val="28"/>
          </w:rPr>
          <w:t>”政策解读</w:t>
        </w:r>
      </w:hyperlink>
    </w:p>
    <w:p w:rsidR="00FC3474" w:rsidRPr="00FC3474" w:rsidRDefault="00FE2E13" w:rsidP="00FC3474">
      <w:pPr>
        <w:spacing w:line="480" w:lineRule="auto"/>
        <w:ind w:leftChars="200" w:left="480"/>
        <w:rPr>
          <w:b/>
          <w:sz w:val="28"/>
          <w:szCs w:val="28"/>
        </w:rPr>
      </w:pPr>
      <w:hyperlink w:anchor="_Toc402948443" w:history="1">
        <w:r w:rsidR="00B84107">
          <w:rPr>
            <w:rFonts w:hint="eastAsia"/>
            <w:b/>
            <w:sz w:val="28"/>
            <w:szCs w:val="28"/>
          </w:rPr>
          <w:t>“</w:t>
        </w:r>
        <w:r w:rsidR="00FC3474" w:rsidRPr="00FC3474">
          <w:rPr>
            <w:rFonts w:hint="eastAsia"/>
            <w:b/>
            <w:sz w:val="28"/>
            <w:szCs w:val="28"/>
          </w:rPr>
          <w:t>国发</w:t>
        </w:r>
        <w:r w:rsidR="00FC3474" w:rsidRPr="00FC3474">
          <w:rPr>
            <w:b/>
            <w:sz w:val="28"/>
            <w:szCs w:val="28"/>
          </w:rPr>
          <w:t>[2014]26</w:t>
        </w:r>
        <w:r w:rsidR="00FC3474" w:rsidRPr="00FC3474">
          <w:rPr>
            <w:rFonts w:hint="eastAsia"/>
            <w:b/>
            <w:sz w:val="28"/>
            <w:szCs w:val="28"/>
          </w:rPr>
          <w:t>号</w:t>
        </w:r>
        <w:r w:rsidR="00FC3474" w:rsidRPr="00FC3474">
          <w:rPr>
            <w:b/>
            <w:sz w:val="28"/>
            <w:szCs w:val="28"/>
          </w:rPr>
          <w:t xml:space="preserve"> </w:t>
        </w:r>
        <w:r w:rsidR="00FC3474" w:rsidRPr="00FC3474">
          <w:rPr>
            <w:rFonts w:hint="eastAsia"/>
            <w:b/>
            <w:sz w:val="28"/>
            <w:szCs w:val="28"/>
          </w:rPr>
          <w:t>国务院关于加快发展生产性服务业促进产业结构调整升级的指导意见”政策解读</w:t>
        </w:r>
      </w:hyperlink>
    </w:p>
    <w:p w:rsidR="00FC3474" w:rsidRPr="00FC3474" w:rsidRDefault="00FE2E13" w:rsidP="00FC3474">
      <w:pPr>
        <w:spacing w:line="480" w:lineRule="auto"/>
        <w:ind w:leftChars="200" w:left="480"/>
        <w:rPr>
          <w:b/>
          <w:sz w:val="28"/>
          <w:szCs w:val="28"/>
        </w:rPr>
      </w:pPr>
      <w:hyperlink w:anchor="_Toc402948444" w:history="1">
        <w:r w:rsidR="00FC3474" w:rsidRPr="00FC3474">
          <w:rPr>
            <w:rFonts w:hint="eastAsia"/>
            <w:b/>
            <w:sz w:val="28"/>
            <w:szCs w:val="28"/>
          </w:rPr>
          <w:t>“教高</w:t>
        </w:r>
        <w:r w:rsidR="00FC3474" w:rsidRPr="00FC3474">
          <w:rPr>
            <w:b/>
            <w:sz w:val="28"/>
            <w:szCs w:val="28"/>
          </w:rPr>
          <w:t>[2014]2</w:t>
        </w:r>
        <w:r w:rsidR="00FC3474" w:rsidRPr="00FC3474">
          <w:rPr>
            <w:rFonts w:hint="eastAsia"/>
            <w:b/>
            <w:sz w:val="28"/>
            <w:szCs w:val="28"/>
          </w:rPr>
          <w:t>号</w:t>
        </w:r>
        <w:r w:rsidR="00FC3474" w:rsidRPr="00FC3474">
          <w:rPr>
            <w:b/>
            <w:sz w:val="28"/>
            <w:szCs w:val="28"/>
          </w:rPr>
          <w:t xml:space="preserve"> </w:t>
        </w:r>
        <w:r w:rsidR="00FC3474" w:rsidRPr="00FC3474">
          <w:rPr>
            <w:rFonts w:hint="eastAsia"/>
            <w:b/>
            <w:sz w:val="28"/>
            <w:szCs w:val="28"/>
          </w:rPr>
          <w:t>教育部</w:t>
        </w:r>
        <w:r w:rsidR="00FC3474" w:rsidRPr="00FC3474">
          <w:rPr>
            <w:b/>
            <w:sz w:val="28"/>
            <w:szCs w:val="28"/>
          </w:rPr>
          <w:t xml:space="preserve"> </w:t>
        </w:r>
        <w:r w:rsidR="00FC3474" w:rsidRPr="00FC3474">
          <w:rPr>
            <w:rFonts w:hint="eastAsia"/>
            <w:b/>
            <w:sz w:val="28"/>
            <w:szCs w:val="28"/>
          </w:rPr>
          <w:t>商务部关于创新服务外包人才培养机制提升服务外包产业发展能力的意见”政策解读</w:t>
        </w:r>
      </w:hyperlink>
    </w:p>
    <w:p w:rsidR="00FC3474" w:rsidRPr="00FC3474" w:rsidRDefault="00FC3474" w:rsidP="00FC3474">
      <w:pPr>
        <w:spacing w:line="360" w:lineRule="auto"/>
        <w:rPr>
          <w:rFonts w:ascii="黑体" w:eastAsia="黑体"/>
          <w:b/>
          <w:bCs/>
          <w:color w:val="000000"/>
          <w:sz w:val="28"/>
          <w:szCs w:val="28"/>
          <w:shd w:val="clear" w:color="auto" w:fill="FFFFFF"/>
        </w:rPr>
      </w:pPr>
      <w:r w:rsidRPr="00FC3474">
        <w:rPr>
          <w:rFonts w:ascii="黑体" w:eastAsia="黑体" w:hint="eastAsia"/>
          <w:b/>
          <w:bCs/>
          <w:color w:val="000000"/>
          <w:sz w:val="28"/>
          <w:szCs w:val="28"/>
          <w:shd w:val="clear" w:color="auto" w:fill="FFFFFF"/>
        </w:rPr>
        <w:t>■</w:t>
      </w:r>
      <w:r w:rsidRPr="00FC3474">
        <w:rPr>
          <w:rFonts w:ascii="黑体" w:eastAsia="黑体"/>
          <w:b/>
          <w:bCs/>
          <w:color w:val="000000"/>
          <w:sz w:val="28"/>
          <w:szCs w:val="28"/>
          <w:shd w:val="clear" w:color="auto" w:fill="FFFFFF"/>
        </w:rPr>
        <w:t xml:space="preserve"> </w:t>
      </w:r>
      <w:r w:rsidRPr="00FC3474">
        <w:rPr>
          <w:rFonts w:ascii="黑体" w:eastAsia="黑体" w:hint="eastAsia"/>
          <w:b/>
          <w:bCs/>
          <w:color w:val="000000"/>
          <w:sz w:val="28"/>
          <w:szCs w:val="28"/>
          <w:shd w:val="clear" w:color="auto" w:fill="FFFFFF"/>
        </w:rPr>
        <w:t>产业资讯</w:t>
      </w:r>
    </w:p>
    <w:p w:rsidR="00FC3474" w:rsidRPr="00FC3474" w:rsidRDefault="00FE2E13" w:rsidP="00FC3474">
      <w:pPr>
        <w:spacing w:line="480" w:lineRule="auto"/>
        <w:ind w:leftChars="200" w:left="480"/>
        <w:rPr>
          <w:b/>
          <w:sz w:val="28"/>
          <w:szCs w:val="28"/>
        </w:rPr>
      </w:pPr>
      <w:hyperlink w:anchor="_Toc402948445" w:history="1">
        <w:r w:rsidR="00FC3474" w:rsidRPr="00FC3474">
          <w:rPr>
            <w:rFonts w:hint="eastAsia"/>
            <w:b/>
            <w:sz w:val="28"/>
            <w:szCs w:val="28"/>
          </w:rPr>
          <w:t>前三季度中国服务外包合同金额同比增长</w:t>
        </w:r>
        <w:r w:rsidR="00FC3474" w:rsidRPr="00FC3474">
          <w:rPr>
            <w:b/>
            <w:sz w:val="28"/>
            <w:szCs w:val="28"/>
          </w:rPr>
          <w:t>26.3%</w:t>
        </w:r>
      </w:hyperlink>
    </w:p>
    <w:p w:rsidR="00FC3474" w:rsidRPr="00FC3474" w:rsidRDefault="00FE2E13" w:rsidP="00FC3474">
      <w:pPr>
        <w:spacing w:line="480" w:lineRule="auto"/>
        <w:ind w:leftChars="200" w:left="480"/>
        <w:rPr>
          <w:b/>
          <w:sz w:val="28"/>
          <w:szCs w:val="28"/>
        </w:rPr>
      </w:pPr>
      <w:hyperlink w:anchor="_Toc402948446" w:history="1">
        <w:r w:rsidR="00FC3474" w:rsidRPr="00FC3474">
          <w:rPr>
            <w:b/>
            <w:sz w:val="28"/>
            <w:szCs w:val="28"/>
          </w:rPr>
          <w:t>Gartner</w:t>
        </w:r>
        <w:r w:rsidR="00FC3474" w:rsidRPr="00FC3474">
          <w:rPr>
            <w:rFonts w:hint="eastAsia"/>
            <w:b/>
            <w:sz w:val="28"/>
            <w:szCs w:val="28"/>
          </w:rPr>
          <w:t>发布</w:t>
        </w:r>
        <w:r w:rsidR="00FC3474" w:rsidRPr="00FC3474">
          <w:rPr>
            <w:b/>
            <w:sz w:val="28"/>
            <w:szCs w:val="28"/>
          </w:rPr>
          <w:t>2015</w:t>
        </w:r>
        <w:r w:rsidR="00FC3474" w:rsidRPr="00FC3474">
          <w:rPr>
            <w:rFonts w:hint="eastAsia"/>
            <w:b/>
            <w:sz w:val="28"/>
            <w:szCs w:val="28"/>
          </w:rPr>
          <w:t>年十大</w:t>
        </w:r>
        <w:r w:rsidR="00FC3474" w:rsidRPr="00FC3474">
          <w:rPr>
            <w:b/>
            <w:sz w:val="28"/>
            <w:szCs w:val="28"/>
          </w:rPr>
          <w:t>IT</w:t>
        </w:r>
        <w:r w:rsidR="00FC3474" w:rsidRPr="00FC3474">
          <w:rPr>
            <w:rFonts w:hint="eastAsia"/>
            <w:b/>
            <w:sz w:val="28"/>
            <w:szCs w:val="28"/>
          </w:rPr>
          <w:t>趋势预测</w:t>
        </w:r>
      </w:hyperlink>
    </w:p>
    <w:p w:rsidR="00FC3474" w:rsidRPr="00FC3474" w:rsidRDefault="00FE2E13" w:rsidP="00FC3474">
      <w:pPr>
        <w:spacing w:line="480" w:lineRule="auto"/>
        <w:ind w:leftChars="200" w:left="480"/>
        <w:rPr>
          <w:b/>
          <w:sz w:val="28"/>
          <w:szCs w:val="28"/>
        </w:rPr>
      </w:pPr>
      <w:hyperlink w:anchor="_Toc402948447" w:history="1">
        <w:r w:rsidR="00FC3474" w:rsidRPr="00FC3474">
          <w:rPr>
            <w:rFonts w:hint="eastAsia"/>
            <w:b/>
            <w:sz w:val="28"/>
            <w:szCs w:val="28"/>
          </w:rPr>
          <w:t>展望十三五，中国服务外包产业发展趋势</w:t>
        </w:r>
      </w:hyperlink>
    </w:p>
    <w:p w:rsidR="00FC3474" w:rsidRPr="00FC3474" w:rsidRDefault="00FE2E13" w:rsidP="00FC3474">
      <w:pPr>
        <w:spacing w:line="480" w:lineRule="auto"/>
        <w:ind w:leftChars="200" w:left="480"/>
        <w:rPr>
          <w:b/>
          <w:sz w:val="28"/>
          <w:szCs w:val="28"/>
        </w:rPr>
      </w:pPr>
      <w:hyperlink w:anchor="_Toc402948448" w:history="1">
        <w:r w:rsidR="00FC3474" w:rsidRPr="00FC3474">
          <w:rPr>
            <w:rFonts w:hint="eastAsia"/>
            <w:b/>
            <w:sz w:val="28"/>
            <w:szCs w:val="28"/>
          </w:rPr>
          <w:t>服务外包发展趋势——城市服务外包产业发展进入深耕阶段</w:t>
        </w:r>
      </w:hyperlink>
    </w:p>
    <w:p w:rsidR="00FC3474" w:rsidRPr="00FC3474" w:rsidRDefault="00FE2E13" w:rsidP="00FC3474">
      <w:pPr>
        <w:spacing w:line="480" w:lineRule="auto"/>
        <w:ind w:leftChars="200" w:left="480"/>
        <w:rPr>
          <w:b/>
          <w:sz w:val="28"/>
          <w:szCs w:val="28"/>
        </w:rPr>
      </w:pPr>
      <w:hyperlink w:anchor="_Toc402948449" w:history="1">
        <w:r w:rsidR="00FC3474" w:rsidRPr="00FC3474">
          <w:rPr>
            <w:rFonts w:hint="eastAsia"/>
            <w:b/>
            <w:sz w:val="28"/>
            <w:szCs w:val="28"/>
          </w:rPr>
          <w:t>平台</w:t>
        </w:r>
        <w:r w:rsidR="00FC3474" w:rsidRPr="00FC3474">
          <w:rPr>
            <w:b/>
            <w:sz w:val="28"/>
            <w:szCs w:val="28"/>
          </w:rPr>
          <w:t>+</w:t>
        </w:r>
        <w:r w:rsidR="00FC3474" w:rsidRPr="00FC3474">
          <w:rPr>
            <w:rFonts w:hint="eastAsia"/>
            <w:b/>
            <w:sz w:val="28"/>
            <w:szCs w:val="28"/>
          </w:rPr>
          <w:t>政策”，推动服务外包内需市场</w:t>
        </w:r>
      </w:hyperlink>
    </w:p>
    <w:p w:rsidR="00FC3474" w:rsidRPr="00FC3474" w:rsidRDefault="00FE2E13" w:rsidP="00FC3474">
      <w:pPr>
        <w:spacing w:line="480" w:lineRule="auto"/>
        <w:rPr>
          <w:b/>
          <w:sz w:val="21"/>
        </w:rPr>
      </w:pPr>
      <w:r w:rsidRPr="00FC3474">
        <w:rPr>
          <w:b/>
          <w:sz w:val="28"/>
          <w:szCs w:val="28"/>
        </w:rPr>
        <w:fldChar w:fldCharType="end"/>
      </w:r>
    </w:p>
    <w:p w:rsidR="00F337BB" w:rsidRDefault="00F337BB" w:rsidP="00C95EAD">
      <w:pPr>
        <w:spacing w:line="480" w:lineRule="auto"/>
        <w:rPr>
          <w:rFonts w:ascii="黑体" w:eastAsia="黑体"/>
          <w:b/>
          <w:bCs/>
          <w:color w:val="000000"/>
          <w:sz w:val="28"/>
          <w:szCs w:val="28"/>
          <w:shd w:val="clear" w:color="auto" w:fill="FFFFFF"/>
        </w:rPr>
      </w:pPr>
    </w:p>
    <w:p w:rsidR="00FC3474" w:rsidRDefault="00FC3474" w:rsidP="00C95EAD">
      <w:pPr>
        <w:spacing w:line="480" w:lineRule="auto"/>
        <w:rPr>
          <w:rFonts w:ascii="宋体" w:hAnsi="宋体"/>
          <w:b/>
          <w:bCs/>
          <w:color w:val="000000"/>
          <w:sz w:val="28"/>
          <w:szCs w:val="28"/>
          <w:shd w:val="clear" w:color="auto" w:fill="FFFFFF"/>
        </w:rPr>
      </w:pPr>
    </w:p>
    <w:p w:rsidR="006B0F5D" w:rsidRDefault="006B0F5D">
      <w:pPr>
        <w:widowControl/>
        <w:jc w:val="left"/>
        <w:rPr>
          <w:rFonts w:ascii="黑体" w:eastAsia="黑体"/>
          <w:b/>
          <w:bCs/>
          <w:color w:val="333399"/>
          <w:sz w:val="30"/>
          <w:szCs w:val="30"/>
          <w:shd w:val="pct15" w:color="auto" w:fill="FFFFFF"/>
        </w:rPr>
      </w:pPr>
    </w:p>
    <w:p w:rsidR="006B0F5D" w:rsidRPr="006B0F5D" w:rsidRDefault="0032722E" w:rsidP="006B0F5D">
      <w:pPr>
        <w:rPr>
          <w:rFonts w:ascii="黑体" w:eastAsia="黑体"/>
          <w:b/>
          <w:bCs/>
          <w:color w:val="333399"/>
          <w:sz w:val="30"/>
          <w:szCs w:val="30"/>
          <w:shd w:val="pct15" w:color="auto" w:fill="FFFFFF"/>
        </w:rPr>
      </w:pPr>
      <w:r w:rsidRPr="0032722E">
        <w:rPr>
          <w:rFonts w:ascii="黑体" w:eastAsia="黑体" w:hint="eastAsia"/>
          <w:b/>
          <w:bCs/>
          <w:color w:val="333399"/>
          <w:sz w:val="30"/>
          <w:szCs w:val="30"/>
          <w:shd w:val="pct15" w:color="auto" w:fill="FFFFFF"/>
        </w:rPr>
        <w:lastRenderedPageBreak/>
        <w:t>全国特色园区集锦</w:t>
      </w:r>
      <w:bookmarkStart w:id="0" w:name="_Toc402948426"/>
    </w:p>
    <w:p w:rsidR="00405AC7" w:rsidRPr="00C95EAD" w:rsidRDefault="004502A3" w:rsidP="00C95EAD">
      <w:pPr>
        <w:pStyle w:val="4"/>
      </w:pPr>
      <w:r w:rsidRPr="00C95EAD">
        <w:rPr>
          <w:rFonts w:hint="eastAsia"/>
        </w:rPr>
        <w:t>中关村软件园</w:t>
      </w:r>
      <w:bookmarkEnd w:id="0"/>
    </w:p>
    <w:p w:rsidR="006B0F5D" w:rsidRPr="0032722E" w:rsidRDefault="006B0F5D" w:rsidP="00A92631">
      <w:pPr>
        <w:spacing w:line="360" w:lineRule="auto"/>
        <w:rPr>
          <w:rFonts w:ascii="宋体" w:hAnsi="宋体"/>
          <w:b/>
          <w:bCs/>
          <w:color w:val="000000"/>
          <w:szCs w:val="24"/>
          <w:shd w:val="clear" w:color="auto" w:fill="FFFFFF"/>
        </w:rPr>
      </w:pPr>
      <w:r w:rsidRPr="0032722E">
        <w:rPr>
          <w:rFonts w:ascii="宋体" w:hAnsi="宋体" w:hint="eastAsia"/>
          <w:b/>
          <w:bCs/>
          <w:color w:val="000000"/>
          <w:szCs w:val="24"/>
          <w:shd w:val="clear" w:color="auto" w:fill="FFFFFF"/>
        </w:rPr>
        <w:t xml:space="preserve">园区简介： </w:t>
      </w:r>
    </w:p>
    <w:p w:rsidR="006B0F5D" w:rsidRPr="00A92631" w:rsidRDefault="00A92631" w:rsidP="00A92631">
      <w:pPr>
        <w:spacing w:line="360" w:lineRule="auto"/>
        <w:ind w:firstLineChars="200" w:firstLine="480"/>
        <w:rPr>
          <w:rFonts w:ascii="宋体" w:hAnsi="宋体"/>
          <w:bCs/>
          <w:color w:val="000000"/>
          <w:szCs w:val="24"/>
          <w:shd w:val="clear" w:color="auto" w:fill="FFFFFF"/>
        </w:rPr>
      </w:pPr>
      <w:r>
        <w:rPr>
          <w:rFonts w:ascii="宋体" w:hAnsi="宋体" w:hint="eastAsia"/>
          <w:bCs/>
          <w:noProof/>
          <w:color w:val="000000"/>
          <w:szCs w:val="24"/>
        </w:rPr>
        <w:drawing>
          <wp:anchor distT="0" distB="0" distL="114300" distR="114300" simplePos="0" relativeHeight="251684864" behindDoc="0" locked="0" layoutInCell="1" allowOverlap="1">
            <wp:simplePos x="0" y="0"/>
            <wp:positionH relativeFrom="column">
              <wp:posOffset>-238125</wp:posOffset>
            </wp:positionH>
            <wp:positionV relativeFrom="paragraph">
              <wp:posOffset>391160</wp:posOffset>
            </wp:positionV>
            <wp:extent cx="3314700" cy="3962400"/>
            <wp:effectExtent l="19050" t="0" r="0" b="0"/>
            <wp:wrapSquare wrapText="bothSides"/>
            <wp:docPr id="1" name="图片 0"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JPG"/>
                    <pic:cNvPicPr/>
                  </pic:nvPicPr>
                  <pic:blipFill>
                    <a:blip r:embed="rId9"/>
                    <a:stretch>
                      <a:fillRect/>
                    </a:stretch>
                  </pic:blipFill>
                  <pic:spPr>
                    <a:xfrm>
                      <a:off x="0" y="0"/>
                      <a:ext cx="3314700" cy="3962400"/>
                    </a:xfrm>
                    <a:prstGeom prst="rect">
                      <a:avLst/>
                    </a:prstGeom>
                  </pic:spPr>
                </pic:pic>
              </a:graphicData>
            </a:graphic>
          </wp:anchor>
        </w:drawing>
      </w:r>
      <w:r w:rsidR="006B0F5D" w:rsidRPr="0032722E">
        <w:rPr>
          <w:rFonts w:ascii="宋体" w:hAnsi="宋体" w:hint="eastAsia"/>
          <w:bCs/>
          <w:color w:val="000000"/>
          <w:szCs w:val="24"/>
          <w:shd w:val="clear" w:color="auto" w:fill="FFFFFF"/>
        </w:rPr>
        <w:t xml:space="preserve">中关村是国家自主创新示范区，高科技产业中心，起源于二十世纪八十年代初的“中关村电子一条街”；中关村科技园区管理委员会作为北京市政府派出机构对园区实行统一领导和管理。中关村是中国第一个国家级高新技术产业开发区，第一个国家自主创新示范区，第一个“国家级”人才特区，是我国体制机制创新的试验田，也被誉为“中国的“硅谷”。 </w:t>
      </w:r>
    </w:p>
    <w:p w:rsidR="006B0F5D" w:rsidRPr="0032722E" w:rsidRDefault="006B0F5D" w:rsidP="00A92631">
      <w:pPr>
        <w:spacing w:line="360" w:lineRule="auto"/>
        <w:rPr>
          <w:rFonts w:ascii="宋体" w:hAnsi="宋体"/>
          <w:b/>
          <w:bCs/>
          <w:color w:val="000000"/>
          <w:szCs w:val="24"/>
          <w:shd w:val="clear" w:color="auto" w:fill="FFFFFF"/>
        </w:rPr>
      </w:pPr>
      <w:r w:rsidRPr="0032722E">
        <w:rPr>
          <w:rFonts w:ascii="宋体" w:hAnsi="宋体" w:hint="eastAsia"/>
          <w:b/>
          <w:bCs/>
          <w:color w:val="000000"/>
          <w:szCs w:val="24"/>
          <w:shd w:val="clear" w:color="auto" w:fill="FFFFFF"/>
        </w:rPr>
        <w:t xml:space="preserve">园区成就： </w:t>
      </w:r>
    </w:p>
    <w:p w:rsidR="006B0F5D" w:rsidRPr="00A92631" w:rsidRDefault="006B0F5D" w:rsidP="00A92631">
      <w:pPr>
        <w:spacing w:line="360" w:lineRule="auto"/>
        <w:ind w:firstLineChars="200" w:firstLine="480"/>
        <w:rPr>
          <w:rFonts w:ascii="宋体" w:hAnsi="宋体"/>
          <w:bCs/>
          <w:color w:val="000000"/>
          <w:szCs w:val="24"/>
          <w:shd w:val="clear" w:color="auto" w:fill="FFFFFF"/>
        </w:rPr>
      </w:pPr>
      <w:r w:rsidRPr="0032722E">
        <w:rPr>
          <w:rFonts w:ascii="宋体" w:hAnsi="宋体" w:hint="eastAsia"/>
          <w:bCs/>
          <w:color w:val="000000"/>
          <w:szCs w:val="24"/>
          <w:shd w:val="clear" w:color="auto" w:fill="FFFFFF"/>
        </w:rPr>
        <w:t xml:space="preserve">经过20多年的发展建设，中关村已经聚集了以联想、百度为代表的高新技术企业近2万家，形成了以下一代互联网、移动互联网和新一代移动通信、卫星应用、生物和健康、节能环保以及轨道交通等六大优势产业集群以及集成电路、新材料、高端装备与通用航空、新能源和新能源汽车等四大潜力产业集群为代表的高新技术产业集群和高端发展的现代服务业，构建了“一区多园”各具特色的发展格局，成为首都跨行政区的高端产业功能区。中关村示范区经济发展始终保持较高的增长速度。2012年中关村示范区实现总收入2.5万亿元，同比增长25%以上；高新技术企业增加值超过3600亿元，占北京市GDP比重达到20%，比上年提高了一个百分点；企业实缴税费达到1500亿元，同比增长超过60%；企业从业人员达到156万人，比上年增加18万人；企业利润总额1730亿元，同比增长13%；实现出口230亿美元，约占全市出口总额近四成；企业科技活动经费支出超过900亿元，同比增长25%。 </w:t>
      </w:r>
      <w:r w:rsidR="00FE2E13" w:rsidRPr="00FE2E13">
        <w:rPr>
          <w:noProof/>
        </w:rPr>
        <w:pict>
          <v:rect id="_x0000_s1027" style="position:absolute;left:0;text-align:left;margin-left:280.5pt;margin-top:7.9pt;width:450.75pt;height:337.5pt;z-index:251659264;mso-position-horizontal-relative:text;mso-position-vertical-relative:text" filled="f" stroked="f"/>
        </w:pict>
      </w:r>
      <w:r w:rsidR="00FE2E13" w:rsidRPr="00FE2E13">
        <w:rPr>
          <w:noProof/>
        </w:rPr>
        <w:pict>
          <v:rect id="_x0000_s1026" style="position:absolute;left:0;text-align:left;margin-left:289.5pt;margin-top:7.9pt;width:303pt;height:342pt;z-index:251658240;mso-position-horizontal-relative:text;mso-position-vertical-relative:text" filled="f" stroked="f"/>
        </w:pict>
      </w:r>
      <w:bookmarkStart w:id="1" w:name="_Toc402948427"/>
      <w:bookmarkStart w:id="2" w:name="_Ref398557966"/>
    </w:p>
    <w:p w:rsidR="0032722E" w:rsidRPr="006B0F5D" w:rsidRDefault="004502A3" w:rsidP="00C95EAD">
      <w:pPr>
        <w:pStyle w:val="4"/>
      </w:pPr>
      <w:r w:rsidRPr="00C95EAD">
        <w:rPr>
          <w:rFonts w:hint="eastAsia"/>
        </w:rPr>
        <w:lastRenderedPageBreak/>
        <w:t>大连软件园</w:t>
      </w:r>
      <w:bookmarkEnd w:id="1"/>
      <w:r w:rsidRPr="00C95EAD">
        <w:rPr>
          <w:rFonts w:hint="eastAsia"/>
        </w:rPr>
        <w:t xml:space="preserve"> </w:t>
      </w:r>
    </w:p>
    <w:p w:rsidR="006A270F" w:rsidRPr="006A270F" w:rsidRDefault="006B0F5D" w:rsidP="006A270F">
      <w:r>
        <w:rPr>
          <w:noProof/>
        </w:rPr>
        <w:drawing>
          <wp:anchor distT="0" distB="0" distL="114300" distR="114300" simplePos="0" relativeHeight="251683840" behindDoc="0" locked="0" layoutInCell="1" allowOverlap="1">
            <wp:simplePos x="0" y="0"/>
            <wp:positionH relativeFrom="column">
              <wp:posOffset>-206375</wp:posOffset>
            </wp:positionH>
            <wp:positionV relativeFrom="paragraph">
              <wp:posOffset>14605</wp:posOffset>
            </wp:positionV>
            <wp:extent cx="3540125" cy="4733925"/>
            <wp:effectExtent l="19050" t="0" r="3175" b="0"/>
            <wp:wrapSquare wrapText="bothSides"/>
            <wp:docPr id="11" name="图片 2" descr="BOT1.jpg"/>
            <wp:cNvGraphicFramePr/>
            <a:graphic xmlns:a="http://schemas.openxmlformats.org/drawingml/2006/main">
              <a:graphicData uri="http://schemas.openxmlformats.org/drawingml/2006/picture">
                <pic:pic xmlns:pic="http://schemas.openxmlformats.org/drawingml/2006/picture">
                  <pic:nvPicPr>
                    <pic:cNvPr id="131078" name="图片 4" descr="BOT1.jpg"/>
                    <pic:cNvPicPr>
                      <a:picLocks noChangeAspect="1"/>
                    </pic:cNvPicPr>
                  </pic:nvPicPr>
                  <pic:blipFill>
                    <a:blip r:embed="rId10"/>
                    <a:srcRect/>
                    <a:stretch>
                      <a:fillRect/>
                    </a:stretch>
                  </pic:blipFill>
                  <pic:spPr bwMode="auto">
                    <a:xfrm>
                      <a:off x="0" y="0"/>
                      <a:ext cx="3540125" cy="4733925"/>
                    </a:xfrm>
                    <a:prstGeom prst="rect">
                      <a:avLst/>
                    </a:prstGeom>
                    <a:noFill/>
                    <a:ln w="9525">
                      <a:noFill/>
                      <a:miter lim="800000"/>
                      <a:headEnd/>
                      <a:tailEnd/>
                    </a:ln>
                  </pic:spPr>
                </pic:pic>
              </a:graphicData>
            </a:graphic>
          </wp:anchor>
        </w:drawing>
      </w:r>
    </w:p>
    <w:bookmarkEnd w:id="2"/>
    <w:p w:rsidR="006B0F5D" w:rsidRPr="006A270F" w:rsidRDefault="006B0F5D" w:rsidP="006B0F5D">
      <w:pPr>
        <w:rPr>
          <w:rFonts w:ascii="宋体" w:hAnsi="宋体"/>
          <w:b/>
          <w:bCs/>
          <w:color w:val="000000"/>
          <w:szCs w:val="24"/>
          <w:shd w:val="clear" w:color="auto" w:fill="FFFFFF"/>
        </w:rPr>
      </w:pPr>
      <w:r w:rsidRPr="006A270F">
        <w:rPr>
          <w:rFonts w:ascii="宋体" w:hAnsi="宋体" w:hint="eastAsia"/>
          <w:b/>
          <w:bCs/>
          <w:color w:val="000000"/>
          <w:szCs w:val="24"/>
          <w:shd w:val="clear" w:color="auto" w:fill="FFFFFF"/>
        </w:rPr>
        <w:t xml:space="preserve">大连软件园简介： </w:t>
      </w:r>
    </w:p>
    <w:p w:rsidR="006B0F5D" w:rsidRPr="006A270F" w:rsidRDefault="006B0F5D" w:rsidP="006B0F5D">
      <w:pPr>
        <w:spacing w:line="360" w:lineRule="auto"/>
        <w:ind w:firstLineChars="200" w:firstLine="480"/>
        <w:rPr>
          <w:rFonts w:ascii="宋体" w:hAnsi="宋体"/>
          <w:bCs/>
          <w:color w:val="000000"/>
          <w:szCs w:val="24"/>
          <w:shd w:val="clear" w:color="auto" w:fill="FFFFFF"/>
        </w:rPr>
      </w:pPr>
      <w:r w:rsidRPr="006A270F">
        <w:rPr>
          <w:rFonts w:ascii="宋体" w:hAnsi="宋体" w:hint="eastAsia"/>
          <w:bCs/>
          <w:color w:val="000000"/>
          <w:szCs w:val="24"/>
          <w:shd w:val="clear" w:color="auto" w:fill="FFFFFF"/>
        </w:rPr>
        <w:t>大连软件园于 1998 年奠基，由 DLSP (大连软件园股份有限公司) 建设运营，首创的“官助民办”的园区开发模式开创了国内园区经营管理模式的先河。目前大连软件园已发展成为国内最具规模的 ITO/BPO/KPO 产业基地和产学研一体的生态科技园区，成功实现了软件企业和人才的高度聚集，为城市创造了巨大财富，节省了大量能源，推动着经济结构的不断调整升级，成为亚太区的软件和服务创新中心，中国城市化发展进程中的一个成功标杆。</w:t>
      </w:r>
    </w:p>
    <w:p w:rsidR="006B0F5D" w:rsidRPr="006A270F" w:rsidRDefault="006B0F5D" w:rsidP="006B0F5D">
      <w:pPr>
        <w:spacing w:line="360" w:lineRule="auto"/>
        <w:rPr>
          <w:rFonts w:ascii="宋体" w:hAnsi="宋体"/>
          <w:b/>
          <w:bCs/>
          <w:color w:val="000000"/>
          <w:szCs w:val="24"/>
          <w:shd w:val="clear" w:color="auto" w:fill="FFFFFF"/>
        </w:rPr>
      </w:pPr>
      <w:r w:rsidRPr="006A270F">
        <w:rPr>
          <w:rFonts w:ascii="宋体" w:hAnsi="宋体" w:hint="eastAsia"/>
          <w:b/>
          <w:bCs/>
          <w:color w:val="000000"/>
          <w:szCs w:val="24"/>
          <w:shd w:val="clear" w:color="auto" w:fill="FFFFFF"/>
        </w:rPr>
        <w:t xml:space="preserve">大连软件园的BOT模式： </w:t>
      </w:r>
    </w:p>
    <w:p w:rsidR="006B0F5D" w:rsidRPr="006A270F" w:rsidRDefault="006B0F5D" w:rsidP="006B0F5D">
      <w:pPr>
        <w:spacing w:line="360" w:lineRule="auto"/>
        <w:ind w:firstLineChars="200" w:firstLine="480"/>
        <w:rPr>
          <w:rFonts w:ascii="宋体" w:hAnsi="宋体"/>
          <w:bCs/>
          <w:color w:val="000000"/>
          <w:szCs w:val="24"/>
          <w:shd w:val="clear" w:color="auto" w:fill="FFFFFF"/>
        </w:rPr>
      </w:pPr>
      <w:r w:rsidRPr="006A270F">
        <w:rPr>
          <w:rFonts w:ascii="宋体" w:hAnsi="宋体" w:hint="eastAsia"/>
          <w:bCs/>
          <w:color w:val="000000"/>
          <w:szCs w:val="24"/>
          <w:shd w:val="clear" w:color="auto" w:fill="FFFFFF"/>
        </w:rPr>
        <w:t>在大连软件园这个以“外包”作为核心资源聚集起来的产业区，“外包”思维已经娴熟地应用于企业运营的各个环节。在这里，企业将“核心业务”之外的事情“外包”给园区来做，而“软件园”的角色也从“园区管理者”转变为专业的“综合解决方案服务商”。充分借用别人的资源当作自己的资源，在研发、生产、营销、服务等各个环节，最大限度地拓宽“资源共享”与“成本分摊”的边界，这是500强企业的选择，这也是“范围经济”模式的现实写照。</w:t>
      </w:r>
    </w:p>
    <w:p w:rsidR="006B0F5D" w:rsidRDefault="006B0F5D" w:rsidP="006B0F5D">
      <w:pPr>
        <w:spacing w:line="360" w:lineRule="auto"/>
        <w:ind w:firstLine="480"/>
        <w:rPr>
          <w:rFonts w:ascii="宋体" w:hAnsi="宋体"/>
          <w:bCs/>
          <w:color w:val="000000"/>
          <w:szCs w:val="24"/>
          <w:shd w:val="clear" w:color="auto" w:fill="FFFFFF"/>
        </w:rPr>
      </w:pPr>
      <w:r w:rsidRPr="006A270F">
        <w:rPr>
          <w:rFonts w:ascii="宋体" w:hAnsi="宋体" w:hint="eastAsia"/>
          <w:bCs/>
          <w:color w:val="000000"/>
          <w:szCs w:val="24"/>
          <w:shd w:val="clear" w:color="auto" w:fill="FFFFFF"/>
        </w:rPr>
        <w:t>为了降低企业前期投入的风险，又有利于企业迅速开展业务。大连软件园为客户提供了独特的“BOT模式”，即“建设、运营、移交”的英文首字母缩写。所谓“BOT模式”，就是软件园承担从楼宇装修、办公环境建设，软硬件配套、人员招聘培训等一系列公司成立前期的筹备工作，直到建立起一个可以运行的公司，然后把这个公司整体转交给客户进行运营管理的合作模式。也可以理解成“交钥匙工程”；2008年下半年金</w:t>
      </w:r>
      <w:r w:rsidRPr="006A270F">
        <w:rPr>
          <w:rFonts w:ascii="宋体" w:hAnsi="宋体" w:hint="eastAsia"/>
          <w:bCs/>
          <w:color w:val="000000"/>
          <w:szCs w:val="24"/>
          <w:shd w:val="clear" w:color="auto" w:fill="FFFFFF"/>
        </w:rPr>
        <w:lastRenderedPageBreak/>
        <w:t>融危机期间，思科公司的全球第二个高级服务支持中心、以及日本财产保险集团大连研发中心落户大连软件园时就是采用的该模式。</w:t>
      </w:r>
      <w:bookmarkStart w:id="3" w:name="_Toc402948428"/>
    </w:p>
    <w:p w:rsidR="006B0F5D" w:rsidRPr="006B0F5D" w:rsidRDefault="006B0F5D" w:rsidP="000D1DF3">
      <w:pPr>
        <w:spacing w:line="360" w:lineRule="auto"/>
        <w:rPr>
          <w:rFonts w:ascii="宋体" w:hAnsi="宋体"/>
          <w:bCs/>
          <w:color w:val="000000"/>
          <w:szCs w:val="24"/>
          <w:shd w:val="clear" w:color="auto" w:fill="FFFFFF"/>
        </w:rPr>
      </w:pPr>
    </w:p>
    <w:p w:rsidR="006A270F" w:rsidRPr="00C95EAD" w:rsidRDefault="006A270F" w:rsidP="00C95EAD">
      <w:pPr>
        <w:pStyle w:val="4"/>
      </w:pPr>
      <w:r w:rsidRPr="00C95EAD">
        <w:rPr>
          <w:rFonts w:hint="eastAsia"/>
        </w:rPr>
        <w:t>成都天府软件园</w:t>
      </w:r>
      <w:bookmarkEnd w:id="3"/>
      <w:r w:rsidRPr="00C95EAD">
        <w:rPr>
          <w:rFonts w:hint="eastAsia"/>
        </w:rPr>
        <w:t xml:space="preserve"> </w:t>
      </w:r>
    </w:p>
    <w:p w:rsidR="00405AC7" w:rsidRDefault="006A270F" w:rsidP="006A270F">
      <w:pPr>
        <w:spacing w:line="360" w:lineRule="auto"/>
        <w:ind w:firstLineChars="200" w:firstLine="480"/>
        <w:jc w:val="left"/>
        <w:rPr>
          <w:rFonts w:asciiTheme="majorEastAsia" w:eastAsiaTheme="majorEastAsia" w:hAnsiTheme="majorEastAsia"/>
          <w:bCs/>
          <w:color w:val="000000"/>
          <w:szCs w:val="24"/>
          <w:shd w:val="clear" w:color="auto" w:fill="FFFFFF"/>
        </w:rPr>
      </w:pPr>
      <w:r w:rsidRPr="006A270F">
        <w:rPr>
          <w:rFonts w:asciiTheme="majorEastAsia" w:eastAsiaTheme="majorEastAsia" w:hAnsiTheme="majorEastAsia"/>
          <w:bCs/>
          <w:noProof/>
          <w:color w:val="000000"/>
          <w:szCs w:val="24"/>
          <w:shd w:val="clear" w:color="auto" w:fill="FFFFFF"/>
        </w:rPr>
        <w:drawing>
          <wp:inline distT="0" distB="0" distL="0" distR="0">
            <wp:extent cx="8324850" cy="1581150"/>
            <wp:effectExtent l="19050" t="0" r="0" b="0"/>
            <wp:docPr id="12" name="图片 3" descr="C:\Users\Administrator\Desktop\天府.jpg"/>
            <wp:cNvGraphicFramePr/>
            <a:graphic xmlns:a="http://schemas.openxmlformats.org/drawingml/2006/main">
              <a:graphicData uri="http://schemas.openxmlformats.org/drawingml/2006/picture">
                <pic:pic xmlns:pic="http://schemas.openxmlformats.org/drawingml/2006/picture">
                  <pic:nvPicPr>
                    <pic:cNvPr id="132101" name="Picture 2" descr="C:\Users\Administrator\Desktop\天府.jpg"/>
                    <pic:cNvPicPr>
                      <a:picLocks noChangeAspect="1" noChangeArrowheads="1"/>
                    </pic:cNvPicPr>
                  </pic:nvPicPr>
                  <pic:blipFill>
                    <a:blip r:embed="rId11"/>
                    <a:srcRect/>
                    <a:stretch>
                      <a:fillRect/>
                    </a:stretch>
                  </pic:blipFill>
                  <pic:spPr bwMode="auto">
                    <a:xfrm>
                      <a:off x="0" y="0"/>
                      <a:ext cx="8324850" cy="1581150"/>
                    </a:xfrm>
                    <a:prstGeom prst="rect">
                      <a:avLst/>
                    </a:prstGeom>
                    <a:noFill/>
                    <a:ln w="9525">
                      <a:noFill/>
                      <a:miter lim="800000"/>
                      <a:headEnd/>
                      <a:tailEnd/>
                    </a:ln>
                  </pic:spPr>
                </pic:pic>
              </a:graphicData>
            </a:graphic>
          </wp:inline>
        </w:drawing>
      </w:r>
    </w:p>
    <w:p w:rsidR="006A270F" w:rsidRDefault="006A270F" w:rsidP="00FE13D4">
      <w:pPr>
        <w:spacing w:line="360" w:lineRule="auto"/>
        <w:ind w:firstLineChars="200" w:firstLine="480"/>
        <w:jc w:val="left"/>
        <w:rPr>
          <w:rFonts w:asciiTheme="majorEastAsia" w:eastAsiaTheme="majorEastAsia" w:hAnsiTheme="majorEastAsia"/>
          <w:bCs/>
          <w:color w:val="000000"/>
          <w:szCs w:val="24"/>
          <w:shd w:val="clear" w:color="auto" w:fill="FFFFFF"/>
        </w:rPr>
      </w:pPr>
    </w:p>
    <w:p w:rsidR="006A270F" w:rsidRPr="006B0F5D" w:rsidRDefault="006A270F" w:rsidP="006A270F">
      <w:pPr>
        <w:spacing w:line="360" w:lineRule="auto"/>
        <w:ind w:firstLineChars="200" w:firstLine="480"/>
        <w:jc w:val="left"/>
        <w:rPr>
          <w:rFonts w:ascii="宋体" w:hAnsi="宋体"/>
          <w:bCs/>
          <w:color w:val="000000"/>
          <w:szCs w:val="24"/>
          <w:shd w:val="clear" w:color="auto" w:fill="FFFFFF"/>
        </w:rPr>
      </w:pPr>
      <w:r w:rsidRPr="006B0F5D">
        <w:rPr>
          <w:rFonts w:ascii="宋体" w:hAnsi="宋体" w:hint="eastAsia"/>
          <w:bCs/>
          <w:color w:val="000000"/>
          <w:szCs w:val="24"/>
          <w:shd w:val="clear" w:color="auto" w:fill="FFFFFF"/>
        </w:rPr>
        <w:t xml:space="preserve">天府软件园是中国10个软件产业基地之一、国家软件出口创新基地、国家服务外包基地城市示范园区，位于成都高新区南部园区核心地带，园区规划建筑面积370万平方米，已开发建筑面积140余万平方米。自2005年正式投入运营以来，已经吸引了世界500强33家落户，行业100强75家，园区人员超42,000人。 </w:t>
      </w:r>
    </w:p>
    <w:p w:rsidR="006A270F" w:rsidRPr="006B0F5D" w:rsidRDefault="006A270F" w:rsidP="006A270F">
      <w:pPr>
        <w:spacing w:line="360" w:lineRule="auto"/>
        <w:ind w:firstLineChars="200" w:firstLine="480"/>
        <w:jc w:val="left"/>
        <w:rPr>
          <w:rFonts w:ascii="宋体" w:hAnsi="宋体"/>
          <w:bCs/>
          <w:color w:val="000000"/>
          <w:szCs w:val="24"/>
          <w:shd w:val="clear" w:color="auto" w:fill="FFFFFF"/>
        </w:rPr>
      </w:pPr>
      <w:r w:rsidRPr="006B0F5D">
        <w:rPr>
          <w:rFonts w:ascii="宋体" w:hAnsi="宋体" w:hint="eastAsia"/>
          <w:bCs/>
          <w:color w:val="000000"/>
          <w:szCs w:val="24"/>
          <w:shd w:val="clear" w:color="auto" w:fill="FFFFFF"/>
        </w:rPr>
        <w:t>2009年，正式进驻成都天府软件园后，我们为其提供VI整体方案、PR策略与方案，每年为成都市政府和成都天府软件园在印度举办有针对性的专场海外推介会；于2009年至2012年期间，成功引进Wipro、NIIT、MAERSK、SUN、Genpact等世界500强企业。同期启动人才储备等人才全面解决方案，引进QAI国际考试中心、Genpact人才培养中心、eSchool考试中心等，每年通过在线学习平台，校园宣讲等活动，储备人才3000人以上。</w:t>
      </w:r>
    </w:p>
    <w:p w:rsidR="00306781" w:rsidRPr="006A270F" w:rsidRDefault="00306781" w:rsidP="00FE13D4">
      <w:pPr>
        <w:spacing w:line="360" w:lineRule="auto"/>
        <w:ind w:firstLineChars="200" w:firstLine="480"/>
        <w:jc w:val="left"/>
        <w:rPr>
          <w:rFonts w:asciiTheme="majorEastAsia" w:eastAsiaTheme="majorEastAsia" w:hAnsiTheme="majorEastAsia"/>
          <w:bCs/>
          <w:color w:val="000000"/>
          <w:szCs w:val="24"/>
          <w:shd w:val="clear" w:color="auto" w:fill="FFFFFF"/>
        </w:rPr>
      </w:pPr>
    </w:p>
    <w:p w:rsidR="00306781" w:rsidRPr="00306781" w:rsidRDefault="00306781" w:rsidP="00FE13D4">
      <w:pPr>
        <w:spacing w:line="360" w:lineRule="auto"/>
        <w:ind w:firstLineChars="200" w:firstLine="480"/>
        <w:jc w:val="left"/>
        <w:rPr>
          <w:rFonts w:asciiTheme="majorEastAsia" w:eastAsiaTheme="majorEastAsia" w:hAnsiTheme="majorEastAsia"/>
          <w:bCs/>
          <w:color w:val="000000"/>
          <w:szCs w:val="24"/>
          <w:shd w:val="clear" w:color="auto" w:fill="FFFFFF"/>
        </w:rPr>
      </w:pPr>
    </w:p>
    <w:p w:rsidR="006A270F" w:rsidRPr="00C95EAD" w:rsidRDefault="006A270F" w:rsidP="00C95EAD">
      <w:pPr>
        <w:pStyle w:val="4"/>
      </w:pPr>
      <w:bookmarkStart w:id="4" w:name="_Toc402948429"/>
      <w:bookmarkStart w:id="5" w:name="_Ref393380185"/>
      <w:r w:rsidRPr="00C95EAD">
        <w:rPr>
          <w:rFonts w:hint="eastAsia"/>
        </w:rPr>
        <w:lastRenderedPageBreak/>
        <w:t>上海张江生物医药园区</w:t>
      </w:r>
      <w:bookmarkEnd w:id="4"/>
    </w:p>
    <w:p w:rsidR="006A270F" w:rsidRDefault="00FE2E13" w:rsidP="006A270F">
      <w:r>
        <w:pict>
          <v:shapetype id="_x0000_t202" coordsize="21600,21600" o:spt="202" path="m,l,21600r21600,l21600,xe">
            <v:stroke joinstyle="miter"/>
            <v:path gradientshapeok="t" o:connecttype="rect"/>
          </v:shapetype>
          <v:shape id="_x0000_s1031" type="#_x0000_t202" style="position:absolute;left:0;text-align:left;margin-left:369pt;margin-top:7.15pt;width:335.25pt;height:225pt;z-index:251663360" filled="f" stroked="f">
            <v:textbox style="mso-next-textbox:#_x0000_s1031">
              <w:txbxContent>
                <w:p w:rsidR="006A270F" w:rsidRPr="006A270F" w:rsidRDefault="00C95EAD" w:rsidP="006B0F5D">
                  <w:pPr>
                    <w:spacing w:line="360" w:lineRule="auto"/>
                    <w:rPr>
                      <w:rFonts w:ascii="宋体" w:hAnsi="宋体"/>
                      <w:b/>
                      <w:bCs/>
                      <w:color w:val="000000"/>
                      <w:szCs w:val="24"/>
                      <w:shd w:val="clear" w:color="auto" w:fill="FFFFFF"/>
                    </w:rPr>
                  </w:pPr>
                  <w:r>
                    <w:rPr>
                      <w:rFonts w:ascii="宋体" w:hAnsi="宋体" w:hint="eastAsia"/>
                      <w:b/>
                      <w:bCs/>
                      <w:color w:val="000000"/>
                      <w:szCs w:val="24"/>
                      <w:shd w:val="clear" w:color="auto" w:fill="FFFFFF"/>
                    </w:rPr>
                    <w:t>园区简介</w:t>
                  </w:r>
                </w:p>
                <w:p w:rsidR="006A270F" w:rsidRPr="006A270F" w:rsidRDefault="006A270F" w:rsidP="006B0F5D">
                  <w:pPr>
                    <w:spacing w:line="360" w:lineRule="auto"/>
                    <w:ind w:firstLineChars="200" w:firstLine="480"/>
                    <w:rPr>
                      <w:rFonts w:ascii="宋体" w:hAnsi="宋体"/>
                      <w:bCs/>
                      <w:color w:val="000000"/>
                      <w:szCs w:val="24"/>
                      <w:shd w:val="clear" w:color="auto" w:fill="FFFFFF"/>
                    </w:rPr>
                  </w:pPr>
                  <w:r w:rsidRPr="006A270F">
                    <w:rPr>
                      <w:rFonts w:ascii="宋体" w:hAnsi="宋体" w:hint="eastAsia"/>
                      <w:bCs/>
                      <w:color w:val="000000"/>
                      <w:szCs w:val="24"/>
                      <w:shd w:val="clear" w:color="auto" w:fill="FFFFFF"/>
                    </w:rPr>
                    <w:t>张江生物医药基地（张江药谷）是国家上海生物医药科技产业基地，由国家科技部、国家卫生部、国家食品药品监督管理局、中国科学院与上海市人民政府共建。 作为上海国家生物产业基地、国家科技兴贸创新基地、国家医药出口基地的核心区，基地内集聚国内外生命科学领域企业、科研院所及配套服务机构400多个，形成了完善的生物医药创新体系和产业集群，是国内生物医药领域研发机构最集中、创新实力最强、新药创制成果最突出的基地之一。</w:t>
                  </w:r>
                </w:p>
                <w:p w:rsidR="00C95EAD" w:rsidRDefault="00C95EAD" w:rsidP="006B0F5D">
                  <w:pPr>
                    <w:spacing w:line="360" w:lineRule="auto"/>
                    <w:rPr>
                      <w:rFonts w:ascii="宋体" w:hAnsi="宋体"/>
                      <w:b/>
                      <w:bCs/>
                      <w:color w:val="000000"/>
                      <w:szCs w:val="24"/>
                      <w:shd w:val="clear" w:color="auto" w:fill="FFFFFF"/>
                    </w:rPr>
                  </w:pPr>
                </w:p>
                <w:p w:rsidR="006A270F" w:rsidRPr="006A270F" w:rsidRDefault="006A270F" w:rsidP="006A270F">
                  <w:pPr>
                    <w:rPr>
                      <w:rFonts w:ascii="宋体" w:hAnsi="宋体"/>
                      <w:bCs/>
                      <w:color w:val="000000"/>
                      <w:szCs w:val="24"/>
                      <w:shd w:val="clear" w:color="auto" w:fill="FFFFFF"/>
                    </w:rPr>
                  </w:pPr>
                </w:p>
                <w:p w:rsidR="006A270F" w:rsidRPr="0032722E" w:rsidRDefault="006A270F" w:rsidP="006A270F">
                  <w:pPr>
                    <w:rPr>
                      <w:rFonts w:ascii="宋体" w:hAnsi="宋体"/>
                      <w:bCs/>
                      <w:color w:val="000000"/>
                      <w:szCs w:val="24"/>
                      <w:shd w:val="clear" w:color="auto" w:fill="FFFFFF"/>
                    </w:rPr>
                  </w:pPr>
                  <w:r w:rsidRPr="0032722E">
                    <w:rPr>
                      <w:rFonts w:ascii="宋体" w:hAnsi="宋体" w:hint="eastAsia"/>
                      <w:bCs/>
                      <w:color w:val="000000"/>
                      <w:szCs w:val="24"/>
                      <w:shd w:val="clear" w:color="auto" w:fill="FFFFFF"/>
                    </w:rPr>
                    <w:t xml:space="preserve"> </w:t>
                  </w:r>
                </w:p>
                <w:p w:rsidR="006A270F" w:rsidRPr="0032722E" w:rsidRDefault="006A270F" w:rsidP="006A270F"/>
              </w:txbxContent>
            </v:textbox>
          </v:shape>
        </w:pict>
      </w:r>
      <w:r w:rsidR="006A270F" w:rsidRPr="006A270F">
        <w:rPr>
          <w:noProof/>
        </w:rPr>
        <w:drawing>
          <wp:inline distT="0" distB="0" distL="0" distR="0">
            <wp:extent cx="4121375" cy="3091031"/>
            <wp:effectExtent l="342900" t="19050" r="12475" b="242719"/>
            <wp:docPr id="13" name="图片 4" descr="医药6.jpg"/>
            <wp:cNvGraphicFramePr/>
            <a:graphic xmlns:a="http://schemas.openxmlformats.org/drawingml/2006/main">
              <a:graphicData uri="http://schemas.openxmlformats.org/drawingml/2006/picture">
                <pic:pic xmlns:pic="http://schemas.openxmlformats.org/drawingml/2006/picture">
                  <pic:nvPicPr>
                    <pic:cNvPr id="6" name="图片 5" descr="医药6.jpg"/>
                    <pic:cNvPicPr>
                      <a:picLocks noChangeAspect="1"/>
                    </pic:cNvPicPr>
                  </pic:nvPicPr>
                  <pic:blipFill>
                    <a:blip r:embed="rId12"/>
                    <a:stretch>
                      <a:fillRect/>
                    </a:stretch>
                  </pic:blipFill>
                  <pic:spPr>
                    <a:xfrm>
                      <a:off x="0" y="0"/>
                      <a:ext cx="4121375" cy="3091031"/>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6A270F" w:rsidRDefault="00FE2E13" w:rsidP="006A270F">
      <w:r>
        <w:rPr>
          <w:noProof/>
        </w:rPr>
        <w:pict>
          <v:shape id="_x0000_s1048" type="#_x0000_t202" style="position:absolute;left:0;text-align:left;margin-left:32.9pt;margin-top:1.45pt;width:650.05pt;height:163.95pt;z-index:251680768;mso-height-percent:200;mso-height-percent:200;mso-width-relative:margin;mso-height-relative:margin" stroked="f">
            <v:textbox style="mso-fit-shape-to-text:t">
              <w:txbxContent>
                <w:p w:rsidR="006B0F5D" w:rsidRPr="006A270F" w:rsidRDefault="006B0F5D" w:rsidP="006B0F5D">
                  <w:pPr>
                    <w:spacing w:line="360" w:lineRule="auto"/>
                    <w:rPr>
                      <w:rFonts w:ascii="宋体" w:hAnsi="宋体"/>
                      <w:b/>
                      <w:bCs/>
                      <w:color w:val="000000"/>
                      <w:szCs w:val="24"/>
                      <w:shd w:val="clear" w:color="auto" w:fill="FFFFFF"/>
                    </w:rPr>
                  </w:pPr>
                  <w:r>
                    <w:rPr>
                      <w:rFonts w:ascii="宋体" w:hAnsi="宋体" w:hint="eastAsia"/>
                      <w:b/>
                      <w:bCs/>
                      <w:color w:val="000000"/>
                      <w:szCs w:val="24"/>
                      <w:shd w:val="clear" w:color="auto" w:fill="FFFFFF"/>
                    </w:rPr>
                    <w:t>园区成就</w:t>
                  </w:r>
                </w:p>
                <w:p w:rsidR="006B0F5D" w:rsidRPr="006A270F" w:rsidRDefault="006B0F5D" w:rsidP="006B0F5D">
                  <w:pPr>
                    <w:spacing w:line="360" w:lineRule="auto"/>
                    <w:ind w:firstLineChars="200" w:firstLine="480"/>
                    <w:rPr>
                      <w:rFonts w:ascii="宋体" w:hAnsi="宋体"/>
                      <w:bCs/>
                      <w:color w:val="000000"/>
                      <w:szCs w:val="24"/>
                      <w:shd w:val="clear" w:color="auto" w:fill="FFFFFF"/>
                    </w:rPr>
                  </w:pPr>
                  <w:r w:rsidRPr="006A270F">
                    <w:rPr>
                      <w:rFonts w:ascii="宋体" w:hAnsi="宋体" w:hint="eastAsia"/>
                      <w:bCs/>
                      <w:color w:val="000000"/>
                      <w:szCs w:val="24"/>
                      <w:shd w:val="clear" w:color="auto" w:fill="FFFFFF"/>
                    </w:rPr>
                    <w:t xml:space="preserve">截止2012年底，园区累计注册企业9164家；从业人员27万，本科学历以上占比超过60%。实现经营总收入4200亿元，同比增长13.5%；工业总产值2084亿元，同比增长19.75%；固定资产投资206亿元，同比增长1.93%；税收收入189.15亿元，同比增长10.6%。成为浦东发展的重要增长极。根据“2012年上海市开发区综合评价”，张江高科技园区再度蝉联综合排名第一，同时在创新发展和投资环境指标上也排名第一。 </w:t>
                  </w:r>
                </w:p>
                <w:p w:rsidR="006B0F5D" w:rsidRPr="006B0F5D" w:rsidRDefault="006B0F5D"/>
              </w:txbxContent>
            </v:textbox>
          </v:shape>
        </w:pict>
      </w:r>
    </w:p>
    <w:p w:rsidR="006A270F" w:rsidRDefault="006A270F" w:rsidP="006A270F"/>
    <w:p w:rsidR="006A270F" w:rsidRDefault="006A270F" w:rsidP="006A270F"/>
    <w:p w:rsidR="006A270F" w:rsidRDefault="006A270F" w:rsidP="006A270F"/>
    <w:p w:rsidR="006A270F" w:rsidRDefault="006A270F" w:rsidP="006A270F"/>
    <w:p w:rsidR="006A270F" w:rsidRDefault="006A270F" w:rsidP="006A270F"/>
    <w:p w:rsidR="006A270F" w:rsidRDefault="006A270F" w:rsidP="006A270F"/>
    <w:p w:rsidR="006A270F" w:rsidRDefault="006A270F" w:rsidP="006A270F"/>
    <w:p w:rsidR="00A92631" w:rsidRDefault="00A92631">
      <w:pPr>
        <w:widowControl/>
        <w:jc w:val="left"/>
        <w:rPr>
          <w:rFonts w:ascii="Cambria" w:hAnsi="Cambria"/>
          <w:b/>
          <w:bCs/>
          <w:sz w:val="28"/>
          <w:szCs w:val="28"/>
        </w:rPr>
      </w:pPr>
      <w:bookmarkStart w:id="6" w:name="_Toc402948430"/>
    </w:p>
    <w:p w:rsidR="006A270F" w:rsidRPr="00C95EAD" w:rsidRDefault="006A270F" w:rsidP="00C95EAD">
      <w:pPr>
        <w:pStyle w:val="4"/>
      </w:pPr>
      <w:r w:rsidRPr="00C95EAD">
        <w:rPr>
          <w:rFonts w:hint="eastAsia"/>
        </w:rPr>
        <w:lastRenderedPageBreak/>
        <w:t>重庆永川金融外包产业基地</w:t>
      </w:r>
      <w:bookmarkEnd w:id="6"/>
    </w:p>
    <w:p w:rsidR="006A270F" w:rsidRDefault="006A270F" w:rsidP="006A270F"/>
    <w:p w:rsidR="00A92631" w:rsidRPr="00DF43F8" w:rsidRDefault="00A92631" w:rsidP="00A92631">
      <w:pPr>
        <w:spacing w:line="360" w:lineRule="auto"/>
        <w:rPr>
          <w:rFonts w:ascii="宋体" w:hAnsi="宋体"/>
          <w:b/>
          <w:bCs/>
          <w:color w:val="000000"/>
          <w:szCs w:val="24"/>
          <w:shd w:val="clear" w:color="auto" w:fill="FFFFFF"/>
        </w:rPr>
      </w:pPr>
      <w:r w:rsidRPr="00DF43F8">
        <w:rPr>
          <w:rFonts w:ascii="宋体" w:hAnsi="宋体" w:hint="eastAsia"/>
          <w:b/>
          <w:bCs/>
          <w:color w:val="000000"/>
          <w:szCs w:val="24"/>
          <w:shd w:val="clear" w:color="auto" w:fill="FFFFFF"/>
        </w:rPr>
        <w:t xml:space="preserve">园区简介： </w:t>
      </w:r>
    </w:p>
    <w:p w:rsidR="00A92631" w:rsidRPr="00DF43F8" w:rsidRDefault="00A92631" w:rsidP="00A92631">
      <w:pPr>
        <w:spacing w:line="360" w:lineRule="auto"/>
        <w:ind w:firstLineChars="200" w:firstLine="480"/>
        <w:rPr>
          <w:rFonts w:ascii="宋体" w:hAnsi="宋体"/>
          <w:bCs/>
          <w:color w:val="000000"/>
          <w:szCs w:val="24"/>
          <w:shd w:val="clear" w:color="auto" w:fill="FFFFFF"/>
        </w:rPr>
      </w:pPr>
      <w:r>
        <w:rPr>
          <w:rFonts w:ascii="宋体" w:hAnsi="宋体" w:hint="eastAsia"/>
          <w:bCs/>
          <w:noProof/>
          <w:color w:val="000000"/>
          <w:szCs w:val="24"/>
        </w:rPr>
        <w:drawing>
          <wp:anchor distT="0" distB="0" distL="114300" distR="114300" simplePos="0" relativeHeight="251685888" behindDoc="0" locked="0" layoutInCell="1" allowOverlap="1">
            <wp:simplePos x="0" y="0"/>
            <wp:positionH relativeFrom="column">
              <wp:posOffset>5429250</wp:posOffset>
            </wp:positionH>
            <wp:positionV relativeFrom="paragraph">
              <wp:posOffset>1109980</wp:posOffset>
            </wp:positionV>
            <wp:extent cx="3495675" cy="3667125"/>
            <wp:effectExtent l="361950" t="19050" r="9525" b="238125"/>
            <wp:wrapSquare wrapText="bothSides"/>
            <wp:docPr id="16" name="图片 5" descr="永川.jpg"/>
            <wp:cNvGraphicFramePr/>
            <a:graphic xmlns:a="http://schemas.openxmlformats.org/drawingml/2006/main">
              <a:graphicData uri="http://schemas.openxmlformats.org/drawingml/2006/picture">
                <pic:pic xmlns:pic="http://schemas.openxmlformats.org/drawingml/2006/picture">
                  <pic:nvPicPr>
                    <pic:cNvPr id="8" name="图片 7" descr="永川.jpg"/>
                    <pic:cNvPicPr>
                      <a:picLocks noChangeAspect="1"/>
                    </pic:cNvPicPr>
                  </pic:nvPicPr>
                  <pic:blipFill>
                    <a:blip r:embed="rId13"/>
                    <a:stretch>
                      <a:fillRect/>
                    </a:stretch>
                  </pic:blipFill>
                  <pic:spPr>
                    <a:xfrm>
                      <a:off x="0" y="0"/>
                      <a:ext cx="3495675" cy="366712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Pr>
          <w:rFonts w:ascii="宋体" w:hAnsi="宋体" w:hint="eastAsia"/>
          <w:bCs/>
          <w:color w:val="000000"/>
          <w:szCs w:val="24"/>
          <w:shd w:val="clear" w:color="auto" w:fill="FFFFFF"/>
        </w:rPr>
        <w:t>永川重庆金融服务外包产业基地将位于永川新城核心区域——</w:t>
      </w:r>
      <w:r w:rsidRPr="00DF43F8">
        <w:rPr>
          <w:rFonts w:ascii="宋体" w:hAnsi="宋体" w:hint="eastAsia"/>
          <w:bCs/>
          <w:color w:val="000000"/>
          <w:szCs w:val="24"/>
          <w:shd w:val="clear" w:color="auto" w:fill="FFFFFF"/>
        </w:rPr>
        <w:t xml:space="preserve">兴龙湖现代商务区，占地2平方公里，以“支持成长的西部金融后台交付中心”为总体定位，围绕金融后台产业链重点发展金融后台软件开发和IT服务、灾难备份中心和数据中心、呼叫中心、数据处理等业务，预计到2015年将引进并培育40家规模以上的金融外包企业，实现外包产值40亿元，解决4万人就业，该中心将服务重庆、辐射中西部及东部沿海地区。 </w:t>
      </w:r>
    </w:p>
    <w:p w:rsidR="00A92631" w:rsidRPr="00DF43F8" w:rsidRDefault="00A92631" w:rsidP="00A92631">
      <w:pPr>
        <w:spacing w:line="360" w:lineRule="auto"/>
        <w:rPr>
          <w:rFonts w:ascii="宋体" w:hAnsi="宋体"/>
          <w:b/>
          <w:bCs/>
          <w:color w:val="000000"/>
          <w:szCs w:val="24"/>
          <w:shd w:val="clear" w:color="auto" w:fill="FFFFFF"/>
        </w:rPr>
      </w:pPr>
      <w:r w:rsidRPr="00DF43F8">
        <w:rPr>
          <w:rFonts w:ascii="宋体" w:hAnsi="宋体" w:hint="eastAsia"/>
          <w:b/>
          <w:bCs/>
          <w:color w:val="000000"/>
          <w:szCs w:val="24"/>
          <w:shd w:val="clear" w:color="auto" w:fill="FFFFFF"/>
        </w:rPr>
        <w:t xml:space="preserve">园区成就： </w:t>
      </w:r>
    </w:p>
    <w:p w:rsidR="00A92631" w:rsidRPr="00DF43F8" w:rsidRDefault="00A92631" w:rsidP="00A92631">
      <w:pPr>
        <w:spacing w:line="360" w:lineRule="auto"/>
        <w:rPr>
          <w:rFonts w:ascii="宋体" w:hAnsi="宋体"/>
          <w:bCs/>
          <w:color w:val="000000"/>
          <w:szCs w:val="24"/>
          <w:shd w:val="clear" w:color="auto" w:fill="FFFFFF"/>
        </w:rPr>
      </w:pPr>
      <w:r w:rsidRPr="00DF43F8">
        <w:rPr>
          <w:rFonts w:ascii="宋体" w:hAnsi="宋体" w:hint="eastAsia"/>
          <w:bCs/>
          <w:color w:val="000000"/>
          <w:szCs w:val="24"/>
          <w:shd w:val="clear" w:color="auto" w:fill="FFFFFF"/>
        </w:rPr>
        <w:t xml:space="preserve"> </w:t>
      </w:r>
      <w:r>
        <w:rPr>
          <w:rFonts w:ascii="宋体" w:hAnsi="宋体" w:hint="eastAsia"/>
          <w:bCs/>
          <w:color w:val="000000"/>
          <w:szCs w:val="24"/>
          <w:shd w:val="clear" w:color="auto" w:fill="FFFFFF"/>
        </w:rPr>
        <w:t xml:space="preserve">   </w:t>
      </w:r>
      <w:r w:rsidRPr="00DF43F8">
        <w:rPr>
          <w:rFonts w:ascii="宋体" w:hAnsi="宋体" w:hint="eastAsia"/>
          <w:bCs/>
          <w:color w:val="000000"/>
          <w:szCs w:val="24"/>
          <w:shd w:val="clear" w:color="auto" w:fill="FFFFFF"/>
        </w:rPr>
        <w:t xml:space="preserve">目前,重庆先特、电讯盈科、中美教育控股、厦门恒隆兴、绮帝软件、创思特科技、柠色动漫等16个项目先后落户园区;中美大都会人寿保险、重庆安诚保险、重庆电信10000号、海尔集团全国客服中心、麦乐送、菲利普、淘宝、电讯盈科、中美教育呼叫中心、厦门恒隆兴数据处理等已在园区全面运营,带有重庆永川DNA的动画片《小猪班纳》第一季已于今年9月荣登CCTV-少儿频道。IBM、英特尔在重庆创思特科技设立技术中心;“中国西部声谷、重庆金融后台”突破3500个座席,服务外包从业人员超过6000人,2012年服务外包实现产值3.5亿元;总投资12亿元的万国数据重庆永川云计算数据中心总部基地项目、总投资10亿元的中兴网信重庆永川云服务园项目即将正式签约,重庆永川已成为重庆“云端计划”的重要板块。 </w:t>
      </w:r>
    </w:p>
    <w:p w:rsidR="006A270F" w:rsidRDefault="006A270F" w:rsidP="006A270F"/>
    <w:bookmarkEnd w:id="5"/>
    <w:p w:rsidR="00B44C77" w:rsidRPr="004109EC" w:rsidRDefault="00B44C77" w:rsidP="00B44C77">
      <w:pPr>
        <w:rPr>
          <w:rFonts w:ascii="黑体" w:eastAsia="黑体"/>
          <w:b/>
          <w:bCs/>
          <w:color w:val="333399"/>
          <w:sz w:val="30"/>
          <w:szCs w:val="30"/>
          <w:shd w:val="pct15" w:color="auto" w:fill="FFFFFF"/>
        </w:rPr>
      </w:pPr>
      <w:r w:rsidRPr="00B44C77">
        <w:rPr>
          <w:rFonts w:ascii="黑体" w:eastAsia="黑体" w:hint="eastAsia"/>
          <w:b/>
          <w:bCs/>
          <w:color w:val="333399"/>
          <w:sz w:val="30"/>
          <w:szCs w:val="30"/>
          <w:shd w:val="pct15" w:color="auto" w:fill="FFFFFF"/>
        </w:rPr>
        <w:lastRenderedPageBreak/>
        <w:t>全国企业优秀案例分享</w:t>
      </w:r>
    </w:p>
    <w:p w:rsidR="00C4307D" w:rsidRPr="00C95EAD" w:rsidRDefault="004502A3" w:rsidP="00C95EAD">
      <w:pPr>
        <w:pStyle w:val="4"/>
      </w:pPr>
      <w:bookmarkStart w:id="7" w:name="_Toc402948431"/>
      <w:r w:rsidRPr="00C95EAD">
        <w:rPr>
          <w:rFonts w:hint="eastAsia"/>
        </w:rPr>
        <w:t>东软</w:t>
      </w:r>
      <w:r w:rsidR="000F27BD" w:rsidRPr="00C95EAD">
        <w:rPr>
          <w:rFonts w:hint="eastAsia"/>
        </w:rPr>
        <w:t>：企业转型</w:t>
      </w:r>
      <w:bookmarkEnd w:id="7"/>
    </w:p>
    <w:p w:rsidR="00B44C77" w:rsidRPr="00C95EAD" w:rsidRDefault="000F27BD" w:rsidP="00C95EAD">
      <w:pPr>
        <w:autoSpaceDE w:val="0"/>
        <w:autoSpaceDN w:val="0"/>
        <w:adjustRightInd w:val="0"/>
        <w:spacing w:line="360" w:lineRule="auto"/>
        <w:rPr>
          <w:rFonts w:ascii="Cambria" w:hAnsi="Cambria"/>
          <w:bCs/>
          <w:noProof/>
          <w:szCs w:val="24"/>
        </w:rPr>
      </w:pPr>
      <w:r>
        <w:rPr>
          <w:rFonts w:ascii="Cambria" w:hAnsi="Cambria" w:hint="eastAsia"/>
          <w:bCs/>
          <w:noProof/>
          <w:sz w:val="28"/>
          <w:szCs w:val="28"/>
        </w:rPr>
        <w:t xml:space="preserve">   </w:t>
      </w:r>
      <w:r w:rsidRPr="00C95EAD">
        <w:rPr>
          <w:rFonts w:ascii="Cambria" w:hAnsi="Cambria" w:hint="eastAsia"/>
          <w:bCs/>
          <w:noProof/>
          <w:szCs w:val="24"/>
        </w:rPr>
        <w:t xml:space="preserve"> </w:t>
      </w:r>
      <w:r w:rsidR="00B44C77" w:rsidRPr="00C95EAD">
        <w:rPr>
          <w:rFonts w:ascii="Cambria" w:hAnsi="Cambria" w:hint="eastAsia"/>
          <w:bCs/>
          <w:noProof/>
          <w:szCs w:val="24"/>
        </w:rPr>
        <w:t>拥有员工</w:t>
      </w:r>
      <w:r w:rsidR="00B44C77" w:rsidRPr="00C95EAD">
        <w:rPr>
          <w:rFonts w:ascii="Cambria" w:hAnsi="Cambria" w:hint="eastAsia"/>
          <w:bCs/>
          <w:noProof/>
          <w:szCs w:val="24"/>
        </w:rPr>
        <w:t>20000</w:t>
      </w:r>
      <w:r w:rsidR="00B44C77" w:rsidRPr="00C95EAD">
        <w:rPr>
          <w:rFonts w:ascii="Cambria" w:hAnsi="Cambria" w:hint="eastAsia"/>
          <w:bCs/>
          <w:noProof/>
          <w:szCs w:val="24"/>
        </w:rPr>
        <w:t>余名，在中国建立了</w:t>
      </w:r>
      <w:r w:rsidR="00B44C77" w:rsidRPr="00C95EAD">
        <w:rPr>
          <w:rFonts w:ascii="Cambria" w:hAnsi="Cambria" w:hint="eastAsia"/>
          <w:bCs/>
          <w:noProof/>
          <w:szCs w:val="24"/>
        </w:rPr>
        <w:t>6</w:t>
      </w:r>
      <w:r w:rsidR="00B44C77" w:rsidRPr="00C95EAD">
        <w:rPr>
          <w:rFonts w:ascii="Cambria" w:hAnsi="Cambria" w:hint="eastAsia"/>
          <w:bCs/>
          <w:noProof/>
          <w:szCs w:val="24"/>
        </w:rPr>
        <w:t>个软件研发基地，</w:t>
      </w:r>
      <w:r w:rsidR="00B44C77" w:rsidRPr="00C95EAD">
        <w:rPr>
          <w:rFonts w:ascii="Cambria" w:hAnsi="Cambria" w:hint="eastAsia"/>
          <w:bCs/>
          <w:noProof/>
          <w:szCs w:val="24"/>
        </w:rPr>
        <w:t>8</w:t>
      </w:r>
      <w:r w:rsidR="00B44C77" w:rsidRPr="00C95EAD">
        <w:rPr>
          <w:rFonts w:ascii="Cambria" w:hAnsi="Cambria" w:hint="eastAsia"/>
          <w:bCs/>
          <w:noProof/>
          <w:szCs w:val="24"/>
        </w:rPr>
        <w:t>个区域总部，在</w:t>
      </w:r>
      <w:r w:rsidR="00B44C77" w:rsidRPr="00C95EAD">
        <w:rPr>
          <w:rFonts w:ascii="Cambria" w:hAnsi="Cambria" w:hint="eastAsia"/>
          <w:bCs/>
          <w:noProof/>
          <w:szCs w:val="24"/>
        </w:rPr>
        <w:t>40</w:t>
      </w:r>
      <w:r w:rsidR="00B44C77" w:rsidRPr="00C95EAD">
        <w:rPr>
          <w:rFonts w:ascii="Cambria" w:hAnsi="Cambria" w:hint="eastAsia"/>
          <w:bCs/>
          <w:noProof/>
          <w:szCs w:val="24"/>
        </w:rPr>
        <w:t>多个城市建立营销与服务网络；在美国、日本、欧洲、中东设有子公司。东软以软件技术为核心，提供行业解决方案、产品工程解决方案以及相关产品、平台及服务。</w:t>
      </w:r>
    </w:p>
    <w:p w:rsidR="00B44C77" w:rsidRPr="00C95EAD" w:rsidRDefault="000F27BD" w:rsidP="00C95EAD">
      <w:pPr>
        <w:autoSpaceDE w:val="0"/>
        <w:autoSpaceDN w:val="0"/>
        <w:adjustRightInd w:val="0"/>
        <w:spacing w:line="360" w:lineRule="auto"/>
        <w:rPr>
          <w:rFonts w:ascii="Cambria" w:hAnsi="Cambria"/>
          <w:b/>
          <w:bCs/>
          <w:noProof/>
          <w:szCs w:val="24"/>
        </w:rPr>
      </w:pPr>
      <w:r w:rsidRPr="00C95EAD">
        <w:rPr>
          <w:rFonts w:ascii="Cambria" w:hAnsi="Cambria" w:hint="eastAsia"/>
          <w:bCs/>
          <w:noProof/>
          <w:szCs w:val="24"/>
        </w:rPr>
        <w:t xml:space="preserve">    </w:t>
      </w:r>
      <w:r w:rsidR="00B44C77" w:rsidRPr="00C95EAD">
        <w:rPr>
          <w:rFonts w:ascii="Cambria" w:hAnsi="Cambria" w:hint="eastAsia"/>
          <w:bCs/>
          <w:noProof/>
          <w:szCs w:val="24"/>
        </w:rPr>
        <w:t>行业解决方案涵盖领域包括：电信、能源、金融、政府（社会保障、财政、税务、公共安全、国土资源、海洋、质量监督检验检疫、工商、知识产权等）、制造业以及商贸流通业、医疗卫生、教育、交通等行业。</w:t>
      </w:r>
    </w:p>
    <w:p w:rsidR="00C95EAD" w:rsidRDefault="00FE2E13" w:rsidP="00C95EAD">
      <w:pPr>
        <w:autoSpaceDE w:val="0"/>
        <w:autoSpaceDN w:val="0"/>
        <w:adjustRightInd w:val="0"/>
        <w:spacing w:line="360" w:lineRule="auto"/>
        <w:ind w:left="720"/>
        <w:jc w:val="left"/>
        <w:rPr>
          <w:rFonts w:ascii="Cambria" w:hAnsi="Cambria"/>
          <w:b/>
          <w:bCs/>
          <w:noProof/>
          <w:sz w:val="28"/>
          <w:szCs w:val="28"/>
        </w:rPr>
      </w:pPr>
      <w:r>
        <w:rPr>
          <w:rFonts w:ascii="Cambria" w:hAnsi="Cambria"/>
          <w:b/>
          <w:bCs/>
          <w:noProof/>
          <w:sz w:val="28"/>
          <w:szCs w:val="28"/>
        </w:rPr>
        <w:pict>
          <v:shape id="_x0000_s1033" type="#_x0000_t202" style="position:absolute;left:0;text-align:left;margin-left:425.25pt;margin-top:27.95pt;width:311.25pt;height:195pt;z-index:251666432" filled="f" stroked="f">
            <v:textbox style="mso-next-textbox:#_x0000_s1033">
              <w:txbxContent>
                <w:p w:rsidR="000F27BD" w:rsidRPr="000F27BD" w:rsidRDefault="000F27BD" w:rsidP="000F27BD">
                  <w:pPr>
                    <w:spacing w:line="360" w:lineRule="auto"/>
                    <w:rPr>
                      <w:rFonts w:ascii="宋体" w:hAnsi="宋体"/>
                      <w:bCs/>
                      <w:color w:val="000000"/>
                      <w:szCs w:val="24"/>
                      <w:shd w:val="clear" w:color="auto" w:fill="FFFFFF"/>
                    </w:rPr>
                  </w:pPr>
                  <w:r w:rsidRPr="000F27BD">
                    <w:rPr>
                      <w:rFonts w:ascii="宋体" w:hAnsi="宋体" w:hint="eastAsia"/>
                      <w:bCs/>
                      <w:color w:val="000000"/>
                      <w:szCs w:val="24"/>
                      <w:shd w:val="clear" w:color="auto" w:fill="FFFFFF"/>
                    </w:rPr>
                    <w:t>世界服务外包企业100强、亚洲新兴外包十强</w:t>
                  </w:r>
                </w:p>
                <w:p w:rsidR="000F27BD" w:rsidRPr="000F27BD" w:rsidRDefault="000F27BD" w:rsidP="000F27BD">
                  <w:pPr>
                    <w:spacing w:line="360" w:lineRule="auto"/>
                    <w:rPr>
                      <w:rFonts w:ascii="宋体" w:hAnsi="宋体"/>
                      <w:bCs/>
                      <w:color w:val="000000"/>
                      <w:szCs w:val="24"/>
                      <w:shd w:val="clear" w:color="auto" w:fill="FFFFFF"/>
                    </w:rPr>
                  </w:pPr>
                  <w:r w:rsidRPr="000F27BD">
                    <w:rPr>
                      <w:rFonts w:ascii="宋体" w:hAnsi="宋体" w:hint="eastAsia"/>
                      <w:bCs/>
                      <w:color w:val="000000"/>
                      <w:szCs w:val="24"/>
                      <w:shd w:val="clear" w:color="auto" w:fill="FFFFFF"/>
                    </w:rPr>
                    <w:t>人力资本发展十强、全球IT服务外包10强、最佳表现IT服务提供商10强</w:t>
                  </w:r>
                </w:p>
                <w:p w:rsidR="000F27BD" w:rsidRPr="000F27BD" w:rsidRDefault="000F27BD" w:rsidP="000F27BD">
                  <w:pPr>
                    <w:spacing w:line="360" w:lineRule="auto"/>
                    <w:rPr>
                      <w:rFonts w:ascii="宋体" w:hAnsi="宋体"/>
                      <w:bCs/>
                      <w:color w:val="000000"/>
                      <w:szCs w:val="24"/>
                      <w:shd w:val="clear" w:color="auto" w:fill="FFFFFF"/>
                    </w:rPr>
                  </w:pPr>
                  <w:r w:rsidRPr="000F27BD">
                    <w:rPr>
                      <w:rFonts w:ascii="宋体" w:hAnsi="宋体" w:hint="eastAsia"/>
                      <w:bCs/>
                      <w:color w:val="000000"/>
                      <w:szCs w:val="24"/>
                      <w:shd w:val="clear" w:color="auto" w:fill="FFFFFF"/>
                    </w:rPr>
                    <w:t xml:space="preserve">开放式创新、卓越运营管理、人力资源发展等战略实施，全面构造公司的核心竞争力，创造客户和社会的价值，从而实现技术的价值。 </w:t>
                  </w:r>
                </w:p>
                <w:p w:rsidR="000F27BD" w:rsidRPr="00DF43F8" w:rsidRDefault="000F27BD" w:rsidP="000F27BD">
                  <w:pPr>
                    <w:rPr>
                      <w:rFonts w:ascii="宋体" w:hAnsi="宋体"/>
                      <w:bCs/>
                      <w:color w:val="000000"/>
                      <w:szCs w:val="24"/>
                      <w:shd w:val="clear" w:color="auto" w:fill="FFFFFF"/>
                    </w:rPr>
                  </w:pPr>
                  <w:r w:rsidRPr="00DF43F8">
                    <w:rPr>
                      <w:rFonts w:ascii="宋体" w:hAnsi="宋体" w:hint="eastAsia"/>
                      <w:bCs/>
                      <w:color w:val="000000"/>
                      <w:szCs w:val="24"/>
                      <w:shd w:val="clear" w:color="auto" w:fill="FFFFFF"/>
                    </w:rPr>
                    <w:t xml:space="preserve"> </w:t>
                  </w:r>
                </w:p>
                <w:p w:rsidR="000F27BD" w:rsidRPr="00DF43F8" w:rsidRDefault="000F27BD" w:rsidP="000F27BD"/>
              </w:txbxContent>
            </v:textbox>
          </v:shape>
        </w:pict>
      </w:r>
      <w:r w:rsidR="000F27BD" w:rsidRPr="000F27BD">
        <w:rPr>
          <w:rFonts w:ascii="Cambria" w:hAnsi="Cambria"/>
          <w:b/>
          <w:bCs/>
          <w:noProof/>
          <w:sz w:val="28"/>
          <w:szCs w:val="28"/>
        </w:rPr>
        <w:drawing>
          <wp:inline distT="0" distB="0" distL="0" distR="0">
            <wp:extent cx="4687888" cy="2832100"/>
            <wp:effectExtent l="19050" t="0" r="0" b="0"/>
            <wp:docPr id="21" name="图片 7" descr="neusoft"/>
            <wp:cNvGraphicFramePr/>
            <a:graphic xmlns:a="http://schemas.openxmlformats.org/drawingml/2006/main">
              <a:graphicData uri="http://schemas.openxmlformats.org/drawingml/2006/picture">
                <pic:pic xmlns:pic="http://schemas.openxmlformats.org/drawingml/2006/picture">
                  <pic:nvPicPr>
                    <pic:cNvPr id="1576964" name="Picture 4" descr="neusoft"/>
                    <pic:cNvPicPr>
                      <a:picLocks noChangeAspect="1" noChangeArrowheads="1"/>
                    </pic:cNvPicPr>
                  </pic:nvPicPr>
                  <pic:blipFill>
                    <a:blip r:embed="rId14"/>
                    <a:srcRect/>
                    <a:stretch>
                      <a:fillRect/>
                    </a:stretch>
                  </pic:blipFill>
                  <pic:spPr bwMode="auto">
                    <a:xfrm>
                      <a:off x="0" y="0"/>
                      <a:ext cx="4687888" cy="2832100"/>
                    </a:xfrm>
                    <a:prstGeom prst="rect">
                      <a:avLst/>
                    </a:prstGeom>
                    <a:noFill/>
                    <a:ln w="9525">
                      <a:noFill/>
                      <a:miter lim="800000"/>
                      <a:headEnd/>
                      <a:tailEnd/>
                    </a:ln>
                  </pic:spPr>
                </pic:pic>
              </a:graphicData>
            </a:graphic>
          </wp:inline>
        </w:drawing>
      </w:r>
    </w:p>
    <w:p w:rsidR="00C95EAD" w:rsidRPr="00C95EAD" w:rsidRDefault="00C95EAD" w:rsidP="00C95EAD">
      <w:pPr>
        <w:autoSpaceDE w:val="0"/>
        <w:autoSpaceDN w:val="0"/>
        <w:adjustRightInd w:val="0"/>
        <w:spacing w:line="360" w:lineRule="auto"/>
        <w:ind w:left="720"/>
        <w:jc w:val="left"/>
        <w:rPr>
          <w:rFonts w:ascii="Cambria" w:hAnsi="Cambria"/>
          <w:b/>
          <w:bCs/>
          <w:noProof/>
          <w:sz w:val="28"/>
          <w:szCs w:val="28"/>
        </w:rPr>
      </w:pPr>
    </w:p>
    <w:p w:rsidR="00C4307D" w:rsidRPr="00C95EAD" w:rsidRDefault="00FE2E13" w:rsidP="00C95EAD">
      <w:pPr>
        <w:pStyle w:val="4"/>
      </w:pPr>
      <w:r>
        <w:rPr>
          <w:noProof/>
        </w:rPr>
        <w:lastRenderedPageBreak/>
        <w:pict>
          <v:shape id="_x0000_s1034" type="#_x0000_t202" style="position:absolute;left:0;text-align:left;margin-left:186.75pt;margin-top:5.6pt;width:493.5pt;height:223.5pt;z-index:251667456" filled="f" stroked="f">
            <v:textbox style="mso-next-textbox:#_x0000_s1034">
              <w:txbxContent>
                <w:p w:rsidR="00C95EAD" w:rsidRDefault="00C95EAD" w:rsidP="000F27BD">
                  <w:pPr>
                    <w:spacing w:line="360" w:lineRule="auto"/>
                    <w:rPr>
                      <w:rFonts w:ascii="宋体" w:hAnsi="宋体"/>
                      <w:b/>
                      <w:bCs/>
                      <w:color w:val="000000"/>
                      <w:szCs w:val="24"/>
                      <w:shd w:val="clear" w:color="auto" w:fill="FFFFFF"/>
                    </w:rPr>
                  </w:pPr>
                </w:p>
                <w:p w:rsidR="00C95EAD" w:rsidRDefault="00C95EAD" w:rsidP="000F27BD">
                  <w:pPr>
                    <w:spacing w:line="360" w:lineRule="auto"/>
                    <w:rPr>
                      <w:rFonts w:ascii="宋体" w:hAnsi="宋体"/>
                      <w:b/>
                      <w:bCs/>
                      <w:color w:val="000000"/>
                      <w:szCs w:val="24"/>
                      <w:shd w:val="clear" w:color="auto" w:fill="FFFFFF"/>
                    </w:rPr>
                  </w:pPr>
                  <w:r>
                    <w:rPr>
                      <w:rFonts w:ascii="宋体" w:hAnsi="宋体" w:hint="eastAsia"/>
                      <w:b/>
                      <w:bCs/>
                      <w:color w:val="000000"/>
                      <w:szCs w:val="24"/>
                      <w:shd w:val="clear" w:color="auto" w:fill="FFFFFF"/>
                    </w:rPr>
                    <w:t>公司介绍</w:t>
                  </w:r>
                </w:p>
                <w:p w:rsidR="000F27BD" w:rsidRPr="00DF43F8" w:rsidRDefault="00C95EAD" w:rsidP="000F27BD">
                  <w:pPr>
                    <w:spacing w:line="360" w:lineRule="auto"/>
                  </w:pPr>
                  <w:r>
                    <w:rPr>
                      <w:rFonts w:ascii="宋体" w:hAnsi="宋体" w:hint="eastAsia"/>
                      <w:b/>
                      <w:bCs/>
                      <w:color w:val="000000"/>
                      <w:szCs w:val="24"/>
                      <w:shd w:val="clear" w:color="auto" w:fill="FFFFFF"/>
                    </w:rPr>
                    <w:t xml:space="preserve">    </w:t>
                  </w:r>
                  <w:r w:rsidR="000F27BD" w:rsidRPr="000F27BD">
                    <w:rPr>
                      <w:rFonts w:ascii="宋体" w:hAnsi="宋体" w:hint="eastAsia"/>
                      <w:bCs/>
                      <w:color w:val="000000"/>
                      <w:szCs w:val="24"/>
                      <w:shd w:val="clear" w:color="auto" w:fill="FFFFFF"/>
                    </w:rPr>
                    <w:t xml:space="preserve">中软国际有限公司是国内大型综合性软件与信息服务企业，具有极高的市场感召力和客户忠诚度，以领先的技术、丰富的经验、精湛的服务在中国 IT 行业享有极高的声誉。自成立以来，中软国际取得了业界瞩目的成就，并作为国内第一家专注于电子政务领域的 IT 服务商，于 2003 年 6 月在香港联交所创业板成功上市。于 2005 年收购了专业从事外包业务的北京中软资源信息科技服务有限公司（中软资源）。在未来的发展中，将软件外包作为重点的业务发展方向。公司在全球拥有三十余家分、子公司。公司于2008年12月由港交所创业板转入主板上市。  </w:t>
                  </w:r>
                </w:p>
              </w:txbxContent>
            </v:textbox>
          </v:shape>
        </w:pict>
      </w:r>
      <w:bookmarkStart w:id="8" w:name="_Toc402948432"/>
      <w:r w:rsidR="004502A3" w:rsidRPr="00C95EAD">
        <w:rPr>
          <w:rFonts w:hint="eastAsia"/>
        </w:rPr>
        <w:t>中软国际</w:t>
      </w:r>
      <w:r w:rsidR="004502A3" w:rsidRPr="00C95EAD">
        <w:rPr>
          <w:rFonts w:hint="eastAsia"/>
        </w:rPr>
        <w:t xml:space="preserve"> </w:t>
      </w:r>
      <w:r w:rsidR="000F27BD" w:rsidRPr="00C95EAD">
        <w:rPr>
          <w:rFonts w:hint="eastAsia"/>
        </w:rPr>
        <w:t>：众包平台</w:t>
      </w:r>
      <w:bookmarkEnd w:id="8"/>
    </w:p>
    <w:p w:rsidR="000F27BD" w:rsidRDefault="000F27BD" w:rsidP="000F27BD">
      <w:pPr>
        <w:autoSpaceDE w:val="0"/>
        <w:autoSpaceDN w:val="0"/>
        <w:adjustRightInd w:val="0"/>
        <w:spacing w:line="360" w:lineRule="auto"/>
        <w:ind w:left="720"/>
        <w:jc w:val="left"/>
        <w:rPr>
          <w:rFonts w:ascii="Cambria" w:hAnsi="Cambria"/>
          <w:b/>
          <w:bCs/>
          <w:noProof/>
          <w:sz w:val="28"/>
          <w:szCs w:val="28"/>
        </w:rPr>
      </w:pPr>
    </w:p>
    <w:p w:rsidR="000F27BD" w:rsidRDefault="000F27BD" w:rsidP="000F27BD">
      <w:pPr>
        <w:autoSpaceDE w:val="0"/>
        <w:autoSpaceDN w:val="0"/>
        <w:adjustRightInd w:val="0"/>
        <w:spacing w:line="360" w:lineRule="auto"/>
        <w:ind w:left="720"/>
        <w:jc w:val="left"/>
        <w:rPr>
          <w:rFonts w:ascii="Cambria" w:hAnsi="Cambria"/>
          <w:b/>
          <w:bCs/>
          <w:noProof/>
          <w:sz w:val="28"/>
          <w:szCs w:val="28"/>
        </w:rPr>
      </w:pPr>
      <w:r w:rsidRPr="000F27BD">
        <w:rPr>
          <w:rFonts w:ascii="Cambria" w:hAnsi="Cambria"/>
          <w:b/>
          <w:bCs/>
          <w:noProof/>
          <w:sz w:val="28"/>
          <w:szCs w:val="28"/>
        </w:rPr>
        <w:drawing>
          <wp:inline distT="0" distB="0" distL="0" distR="0">
            <wp:extent cx="1590675" cy="1114425"/>
            <wp:effectExtent l="19050" t="0" r="9525" b="0"/>
            <wp:docPr id="22" name="图片 8" descr="中软国际0.jpg"/>
            <wp:cNvGraphicFramePr/>
            <a:graphic xmlns:a="http://schemas.openxmlformats.org/drawingml/2006/main">
              <a:graphicData uri="http://schemas.openxmlformats.org/drawingml/2006/picture">
                <pic:pic xmlns:pic="http://schemas.openxmlformats.org/drawingml/2006/picture">
                  <pic:nvPicPr>
                    <pic:cNvPr id="138245" name="图片 5" descr="中软国际0.jpg"/>
                    <pic:cNvPicPr>
                      <a:picLocks noChangeAspect="1"/>
                    </pic:cNvPicPr>
                  </pic:nvPicPr>
                  <pic:blipFill>
                    <a:blip r:embed="rId15"/>
                    <a:srcRect/>
                    <a:stretch>
                      <a:fillRect/>
                    </a:stretch>
                  </pic:blipFill>
                  <pic:spPr bwMode="auto">
                    <a:xfrm>
                      <a:off x="0" y="0"/>
                      <a:ext cx="1593688" cy="1116536"/>
                    </a:xfrm>
                    <a:prstGeom prst="rect">
                      <a:avLst/>
                    </a:prstGeom>
                    <a:noFill/>
                    <a:ln w="9525">
                      <a:noFill/>
                      <a:miter lim="800000"/>
                      <a:headEnd/>
                      <a:tailEnd/>
                    </a:ln>
                  </pic:spPr>
                </pic:pic>
              </a:graphicData>
            </a:graphic>
          </wp:inline>
        </w:drawing>
      </w:r>
    </w:p>
    <w:p w:rsidR="000F27BD" w:rsidRDefault="000F27BD" w:rsidP="000F27BD">
      <w:pPr>
        <w:autoSpaceDE w:val="0"/>
        <w:autoSpaceDN w:val="0"/>
        <w:adjustRightInd w:val="0"/>
        <w:spacing w:line="360" w:lineRule="auto"/>
        <w:ind w:left="720"/>
        <w:jc w:val="left"/>
        <w:rPr>
          <w:rFonts w:ascii="Cambria" w:hAnsi="Cambria"/>
          <w:b/>
          <w:bCs/>
          <w:noProof/>
          <w:sz w:val="28"/>
          <w:szCs w:val="28"/>
        </w:rPr>
      </w:pPr>
    </w:p>
    <w:p w:rsidR="00C95EAD" w:rsidRDefault="00C95EAD" w:rsidP="000F27BD">
      <w:pPr>
        <w:autoSpaceDE w:val="0"/>
        <w:autoSpaceDN w:val="0"/>
        <w:adjustRightInd w:val="0"/>
        <w:spacing w:line="360" w:lineRule="auto"/>
        <w:ind w:left="720"/>
        <w:jc w:val="left"/>
        <w:rPr>
          <w:rFonts w:ascii="Cambria" w:hAnsi="Cambria"/>
          <w:b/>
          <w:bCs/>
          <w:noProof/>
          <w:szCs w:val="24"/>
        </w:rPr>
      </w:pPr>
    </w:p>
    <w:p w:rsidR="00C95EAD" w:rsidRDefault="00C95EAD" w:rsidP="000F27BD">
      <w:pPr>
        <w:autoSpaceDE w:val="0"/>
        <w:autoSpaceDN w:val="0"/>
        <w:adjustRightInd w:val="0"/>
        <w:spacing w:line="360" w:lineRule="auto"/>
        <w:ind w:left="720"/>
        <w:jc w:val="left"/>
        <w:rPr>
          <w:rFonts w:ascii="Cambria" w:hAnsi="Cambria"/>
          <w:b/>
          <w:bCs/>
          <w:noProof/>
          <w:szCs w:val="24"/>
        </w:rPr>
      </w:pPr>
    </w:p>
    <w:p w:rsidR="00C95EAD" w:rsidRDefault="000F27BD" w:rsidP="000F27BD">
      <w:pPr>
        <w:autoSpaceDE w:val="0"/>
        <w:autoSpaceDN w:val="0"/>
        <w:adjustRightInd w:val="0"/>
        <w:spacing w:line="360" w:lineRule="auto"/>
        <w:ind w:left="720"/>
        <w:jc w:val="left"/>
        <w:rPr>
          <w:rFonts w:ascii="Cambria" w:hAnsi="Cambria"/>
          <w:b/>
          <w:bCs/>
          <w:noProof/>
          <w:szCs w:val="24"/>
        </w:rPr>
      </w:pPr>
      <w:r w:rsidRPr="00C95EAD">
        <w:rPr>
          <w:rFonts w:ascii="Cambria" w:hAnsi="Cambria" w:hint="eastAsia"/>
          <w:b/>
          <w:bCs/>
          <w:noProof/>
          <w:szCs w:val="24"/>
        </w:rPr>
        <w:t>公司发展模式</w:t>
      </w:r>
    </w:p>
    <w:p w:rsidR="000F27BD" w:rsidRPr="00C95EAD" w:rsidRDefault="00C95EAD" w:rsidP="000F27BD">
      <w:pPr>
        <w:autoSpaceDE w:val="0"/>
        <w:autoSpaceDN w:val="0"/>
        <w:adjustRightInd w:val="0"/>
        <w:spacing w:line="360" w:lineRule="auto"/>
        <w:ind w:left="720"/>
        <w:jc w:val="left"/>
        <w:rPr>
          <w:rFonts w:ascii="Cambria" w:hAnsi="Cambria"/>
          <w:b/>
          <w:bCs/>
          <w:noProof/>
          <w:szCs w:val="24"/>
        </w:rPr>
      </w:pPr>
      <w:r>
        <w:rPr>
          <w:rFonts w:ascii="Cambria" w:hAnsi="Cambria" w:hint="eastAsia"/>
          <w:bCs/>
          <w:noProof/>
          <w:szCs w:val="24"/>
        </w:rPr>
        <w:t xml:space="preserve">    </w:t>
      </w:r>
      <w:r w:rsidR="000F27BD" w:rsidRPr="00C95EAD">
        <w:rPr>
          <w:rFonts w:ascii="Cambria" w:hAnsi="Cambria" w:hint="eastAsia"/>
          <w:bCs/>
          <w:noProof/>
          <w:szCs w:val="24"/>
        </w:rPr>
        <w:t>中国行业信息化建设正处于巨大的增长契机中，作为行业信息化的领军企业，中软国际总结行业信息化的规律，结合最新的技术架构和自主知识产权的软件产品，开发了多个技术先进、面向中国国情的行业解决方案，涉及了电子政务、金融、制造业等多个行业。这些解决方案以咨询为先导，以行业为中心，以</w:t>
      </w:r>
      <w:r w:rsidR="000F27BD" w:rsidRPr="00C95EAD">
        <w:rPr>
          <w:rFonts w:ascii="Cambria" w:hAnsi="Cambria" w:hint="eastAsia"/>
          <w:bCs/>
          <w:noProof/>
          <w:szCs w:val="24"/>
        </w:rPr>
        <w:t>SOA</w:t>
      </w:r>
      <w:r w:rsidR="000F27BD" w:rsidRPr="00C95EAD">
        <w:rPr>
          <w:rFonts w:ascii="Cambria" w:hAnsi="Cambria" w:hint="eastAsia"/>
          <w:bCs/>
          <w:noProof/>
          <w:szCs w:val="24"/>
        </w:rPr>
        <w:t>和</w:t>
      </w:r>
      <w:r w:rsidR="000F27BD" w:rsidRPr="00C95EAD">
        <w:rPr>
          <w:rFonts w:ascii="Cambria" w:hAnsi="Cambria" w:hint="eastAsia"/>
          <w:bCs/>
          <w:noProof/>
          <w:szCs w:val="24"/>
        </w:rPr>
        <w:t>SaaS</w:t>
      </w:r>
      <w:r w:rsidR="000F27BD" w:rsidRPr="00C95EAD">
        <w:rPr>
          <w:rFonts w:ascii="Cambria" w:hAnsi="Cambria" w:hint="eastAsia"/>
          <w:bCs/>
          <w:noProof/>
          <w:szCs w:val="24"/>
        </w:rPr>
        <w:t>为商业技术架构，以监管为线索，以服务优先、为客户的成功而奋斗的理念，与客户建立了互利共赢的和谐商业环境。</w:t>
      </w:r>
      <w:r w:rsidR="000F27BD" w:rsidRPr="00C95EAD">
        <w:rPr>
          <w:rFonts w:ascii="Cambria" w:hAnsi="Cambria" w:hint="eastAsia"/>
          <w:b/>
          <w:bCs/>
          <w:noProof/>
          <w:szCs w:val="24"/>
        </w:rPr>
        <w:t xml:space="preserve"> </w:t>
      </w:r>
    </w:p>
    <w:p w:rsidR="000F27BD" w:rsidRPr="000F27BD" w:rsidRDefault="000F27BD" w:rsidP="000F27BD">
      <w:pPr>
        <w:autoSpaceDE w:val="0"/>
        <w:autoSpaceDN w:val="0"/>
        <w:adjustRightInd w:val="0"/>
        <w:spacing w:line="360" w:lineRule="auto"/>
        <w:ind w:left="720"/>
        <w:jc w:val="left"/>
        <w:rPr>
          <w:rFonts w:ascii="Cambria" w:hAnsi="Cambria"/>
          <w:b/>
          <w:bCs/>
          <w:noProof/>
          <w:sz w:val="28"/>
          <w:szCs w:val="28"/>
        </w:rPr>
      </w:pPr>
    </w:p>
    <w:p w:rsidR="000F27BD" w:rsidRDefault="000F27BD" w:rsidP="000F27BD">
      <w:pPr>
        <w:autoSpaceDE w:val="0"/>
        <w:autoSpaceDN w:val="0"/>
        <w:adjustRightInd w:val="0"/>
        <w:spacing w:line="360" w:lineRule="auto"/>
        <w:ind w:left="720"/>
        <w:jc w:val="left"/>
        <w:rPr>
          <w:rFonts w:ascii="Cambria" w:hAnsi="Cambria"/>
          <w:b/>
          <w:bCs/>
          <w:noProof/>
          <w:sz w:val="28"/>
          <w:szCs w:val="28"/>
        </w:rPr>
      </w:pPr>
    </w:p>
    <w:p w:rsidR="000F27BD" w:rsidRPr="00B44C77" w:rsidRDefault="000F27BD" w:rsidP="00C95EAD">
      <w:pPr>
        <w:autoSpaceDE w:val="0"/>
        <w:autoSpaceDN w:val="0"/>
        <w:adjustRightInd w:val="0"/>
        <w:spacing w:line="360" w:lineRule="auto"/>
        <w:jc w:val="left"/>
        <w:rPr>
          <w:rFonts w:ascii="Cambria" w:hAnsi="Cambria"/>
          <w:b/>
          <w:bCs/>
          <w:noProof/>
          <w:sz w:val="28"/>
          <w:szCs w:val="28"/>
        </w:rPr>
      </w:pPr>
    </w:p>
    <w:p w:rsidR="00C4307D" w:rsidRDefault="00FE2E13" w:rsidP="00C95EAD">
      <w:pPr>
        <w:pStyle w:val="4"/>
        <w:rPr>
          <w:noProof/>
        </w:rPr>
      </w:pPr>
      <w:r>
        <w:rPr>
          <w:noProof/>
        </w:rPr>
        <w:lastRenderedPageBreak/>
        <w:pict>
          <v:shape id="_x0000_s1035" type="#_x0000_t202" style="position:absolute;left:0;text-align:left;margin-left:414pt;margin-top:29.6pt;width:320.25pt;height:222.75pt;z-index:251668480" filled="f" stroked="f">
            <v:textbox style="mso-next-textbox:#_x0000_s1035">
              <w:txbxContent>
                <w:p w:rsidR="00C95EAD" w:rsidRDefault="000F27BD" w:rsidP="000F27BD">
                  <w:pPr>
                    <w:spacing w:line="360" w:lineRule="auto"/>
                    <w:rPr>
                      <w:rFonts w:ascii="宋体" w:hAnsi="宋体"/>
                      <w:b/>
                      <w:bCs/>
                      <w:color w:val="000000"/>
                      <w:szCs w:val="24"/>
                      <w:shd w:val="clear" w:color="auto" w:fill="FFFFFF"/>
                    </w:rPr>
                  </w:pPr>
                  <w:r w:rsidRPr="000F27BD">
                    <w:rPr>
                      <w:rFonts w:ascii="宋体" w:hAnsi="宋体" w:hint="eastAsia"/>
                      <w:b/>
                      <w:bCs/>
                      <w:color w:val="000000"/>
                      <w:szCs w:val="24"/>
                      <w:shd w:val="clear" w:color="auto" w:fill="FFFFFF"/>
                    </w:rPr>
                    <w:t>公司介绍</w:t>
                  </w:r>
                </w:p>
                <w:p w:rsidR="000F27BD" w:rsidRPr="000F27BD" w:rsidRDefault="00C95EAD" w:rsidP="000F27BD">
                  <w:pPr>
                    <w:spacing w:line="360" w:lineRule="auto"/>
                    <w:rPr>
                      <w:rFonts w:ascii="宋体" w:hAnsi="宋体"/>
                      <w:b/>
                      <w:bCs/>
                      <w:color w:val="000000"/>
                      <w:szCs w:val="24"/>
                      <w:shd w:val="clear" w:color="auto" w:fill="FFFFFF"/>
                    </w:rPr>
                  </w:pPr>
                  <w:r>
                    <w:rPr>
                      <w:rFonts w:ascii="宋体" w:hAnsi="宋体" w:hint="eastAsia"/>
                      <w:b/>
                      <w:bCs/>
                      <w:color w:val="000000"/>
                      <w:szCs w:val="24"/>
                      <w:shd w:val="clear" w:color="auto" w:fill="FFFFFF"/>
                    </w:rPr>
                    <w:t xml:space="preserve">    </w:t>
                  </w:r>
                  <w:r w:rsidR="000F27BD" w:rsidRPr="000F27BD">
                    <w:rPr>
                      <w:rFonts w:ascii="宋体" w:hAnsi="宋体" w:hint="eastAsia"/>
                      <w:bCs/>
                      <w:color w:val="000000"/>
                      <w:szCs w:val="24"/>
                      <w:shd w:val="clear" w:color="auto" w:fill="FFFFFF"/>
                    </w:rPr>
                    <w:t xml:space="preserve">作为国内较早进入日本市场的软件企业之一，大连华信在对日软件外包服务业务领域取得了长足的发展，并与众多日本知名企业建立了良好的合作关系。强大的技术实力、科学的管理机制带来了丰硕的成果。国内市场，大连华信作为行业解决方案的提供商，在电信、保险、政府、ERP等领域有着丰富的经验，成功案例遍布全国270多个城市。 </w:t>
                  </w:r>
                </w:p>
              </w:txbxContent>
            </v:textbox>
          </v:shape>
        </w:pict>
      </w:r>
      <w:bookmarkStart w:id="9" w:name="_Toc402948433"/>
      <w:r w:rsidR="004502A3" w:rsidRPr="00B44C77">
        <w:rPr>
          <w:rFonts w:hint="eastAsia"/>
          <w:noProof/>
        </w:rPr>
        <w:t>大连华信</w:t>
      </w:r>
      <w:r w:rsidR="004502A3" w:rsidRPr="00B44C77">
        <w:rPr>
          <w:rFonts w:hint="eastAsia"/>
          <w:noProof/>
        </w:rPr>
        <w:t xml:space="preserve"> </w:t>
      </w:r>
      <w:r w:rsidR="000F27BD">
        <w:rPr>
          <w:rFonts w:hint="eastAsia"/>
          <w:noProof/>
        </w:rPr>
        <w:t>：</w:t>
      </w:r>
      <w:r w:rsidR="000F27BD" w:rsidRPr="000F27BD">
        <w:rPr>
          <w:rFonts w:hint="eastAsia"/>
          <w:noProof/>
        </w:rPr>
        <w:t>软硬一体化</w:t>
      </w:r>
      <w:bookmarkEnd w:id="9"/>
    </w:p>
    <w:p w:rsidR="000F27BD" w:rsidRDefault="000F27BD" w:rsidP="000F27BD">
      <w:pPr>
        <w:autoSpaceDE w:val="0"/>
        <w:autoSpaceDN w:val="0"/>
        <w:adjustRightInd w:val="0"/>
        <w:spacing w:line="360" w:lineRule="auto"/>
        <w:ind w:left="720"/>
        <w:jc w:val="left"/>
        <w:rPr>
          <w:rFonts w:ascii="Cambria" w:hAnsi="Cambria"/>
          <w:b/>
          <w:bCs/>
          <w:noProof/>
          <w:sz w:val="28"/>
          <w:szCs w:val="28"/>
        </w:rPr>
      </w:pPr>
      <w:r w:rsidRPr="000F27BD">
        <w:rPr>
          <w:rFonts w:ascii="Cambria" w:hAnsi="Cambria"/>
          <w:b/>
          <w:bCs/>
          <w:noProof/>
          <w:sz w:val="28"/>
          <w:szCs w:val="28"/>
        </w:rPr>
        <w:drawing>
          <wp:inline distT="0" distB="0" distL="0" distR="0">
            <wp:extent cx="4438650" cy="2200275"/>
            <wp:effectExtent l="133350" t="38100" r="57150" b="66675"/>
            <wp:docPr id="23" name="图片 9" descr="02-P-1"/>
            <wp:cNvGraphicFramePr/>
            <a:graphic xmlns:a="http://schemas.openxmlformats.org/drawingml/2006/main">
              <a:graphicData uri="http://schemas.openxmlformats.org/drawingml/2006/picture">
                <pic:pic xmlns:pic="http://schemas.openxmlformats.org/drawingml/2006/picture">
                  <pic:nvPicPr>
                    <pic:cNvPr id="7" name="图片 6" descr="02-P-1"/>
                    <pic:cNvPicPr/>
                  </pic:nvPicPr>
                  <pic:blipFill>
                    <a:blip r:embed="rId16" cstate="print"/>
                    <a:srcRect/>
                    <a:stretch>
                      <a:fillRect/>
                    </a:stretch>
                  </pic:blipFill>
                  <pic:spPr bwMode="auto">
                    <a:xfrm>
                      <a:off x="0" y="0"/>
                      <a:ext cx="4438650" cy="2200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95EAD" w:rsidRDefault="00C95EAD" w:rsidP="000F27BD">
      <w:pPr>
        <w:autoSpaceDE w:val="0"/>
        <w:autoSpaceDN w:val="0"/>
        <w:adjustRightInd w:val="0"/>
        <w:spacing w:line="360" w:lineRule="auto"/>
        <w:ind w:left="720"/>
        <w:jc w:val="left"/>
        <w:rPr>
          <w:rFonts w:ascii="Cambria" w:hAnsi="Cambria"/>
          <w:b/>
          <w:bCs/>
          <w:noProof/>
          <w:szCs w:val="24"/>
        </w:rPr>
      </w:pPr>
    </w:p>
    <w:p w:rsidR="00C95EAD" w:rsidRDefault="000F27BD" w:rsidP="000F27BD">
      <w:pPr>
        <w:autoSpaceDE w:val="0"/>
        <w:autoSpaceDN w:val="0"/>
        <w:adjustRightInd w:val="0"/>
        <w:spacing w:line="360" w:lineRule="auto"/>
        <w:ind w:left="720"/>
        <w:jc w:val="left"/>
        <w:rPr>
          <w:rFonts w:ascii="Cambria" w:hAnsi="Cambria"/>
          <w:b/>
          <w:bCs/>
          <w:noProof/>
          <w:szCs w:val="24"/>
        </w:rPr>
      </w:pPr>
      <w:r w:rsidRPr="00C95EAD">
        <w:rPr>
          <w:rFonts w:ascii="Cambria" w:hAnsi="Cambria" w:hint="eastAsia"/>
          <w:b/>
          <w:bCs/>
          <w:noProof/>
          <w:szCs w:val="24"/>
        </w:rPr>
        <w:t>公司发展模式</w:t>
      </w:r>
    </w:p>
    <w:p w:rsidR="000F27BD" w:rsidRPr="00C95EAD" w:rsidRDefault="000F27BD" w:rsidP="001925DE">
      <w:pPr>
        <w:autoSpaceDE w:val="0"/>
        <w:autoSpaceDN w:val="0"/>
        <w:adjustRightInd w:val="0"/>
        <w:spacing w:line="360" w:lineRule="auto"/>
        <w:ind w:leftChars="343" w:left="823" w:firstLineChars="200" w:firstLine="480"/>
        <w:jc w:val="left"/>
        <w:rPr>
          <w:rFonts w:ascii="Cambria" w:hAnsi="Cambria"/>
          <w:b/>
          <w:bCs/>
          <w:noProof/>
          <w:szCs w:val="24"/>
        </w:rPr>
      </w:pPr>
      <w:r w:rsidRPr="00C95EAD">
        <w:rPr>
          <w:rFonts w:ascii="Cambria" w:hAnsi="Cambria" w:hint="eastAsia"/>
          <w:bCs/>
          <w:noProof/>
          <w:szCs w:val="24"/>
        </w:rPr>
        <w:t>大连华信是一家以软件技术为核心，提供从软件设计、开发、测试、实施到后期的培训、维护服务和业务咨询全面解决方案的提供商。大连华信的软件技术和信息服务应用于电信、电力、公共、金融、保险、交通、物流、传媒、制造业等多个行业，帮助国内外</w:t>
      </w:r>
      <w:r w:rsidRPr="00C95EAD">
        <w:rPr>
          <w:rFonts w:ascii="Cambria" w:hAnsi="Cambria" w:hint="eastAsia"/>
          <w:bCs/>
          <w:noProof/>
          <w:szCs w:val="24"/>
        </w:rPr>
        <w:t>400</w:t>
      </w:r>
      <w:r w:rsidRPr="00C95EAD">
        <w:rPr>
          <w:rFonts w:ascii="Cambria" w:hAnsi="Cambria" w:hint="eastAsia"/>
          <w:bCs/>
          <w:noProof/>
          <w:szCs w:val="24"/>
        </w:rPr>
        <w:t>多家客户改善工作质量，有效提升客户价值。</w:t>
      </w:r>
      <w:r w:rsidRPr="00C95EAD">
        <w:rPr>
          <w:rFonts w:ascii="Cambria" w:hAnsi="Cambria" w:hint="eastAsia"/>
          <w:b/>
          <w:bCs/>
          <w:noProof/>
          <w:szCs w:val="24"/>
        </w:rPr>
        <w:t xml:space="preserve"> </w:t>
      </w:r>
    </w:p>
    <w:p w:rsidR="00C95EAD" w:rsidRDefault="000F27BD" w:rsidP="000F27BD">
      <w:pPr>
        <w:autoSpaceDE w:val="0"/>
        <w:autoSpaceDN w:val="0"/>
        <w:adjustRightInd w:val="0"/>
        <w:spacing w:line="360" w:lineRule="auto"/>
        <w:ind w:left="720"/>
        <w:rPr>
          <w:rFonts w:ascii="Cambria" w:hAnsi="Cambria"/>
          <w:b/>
          <w:bCs/>
          <w:noProof/>
          <w:szCs w:val="24"/>
        </w:rPr>
      </w:pPr>
      <w:r w:rsidRPr="00C95EAD">
        <w:rPr>
          <w:rFonts w:ascii="Cambria" w:hAnsi="Cambria" w:hint="eastAsia"/>
          <w:b/>
          <w:bCs/>
          <w:noProof/>
          <w:szCs w:val="24"/>
        </w:rPr>
        <w:t>创新案例</w:t>
      </w:r>
    </w:p>
    <w:p w:rsidR="00C95EAD" w:rsidRPr="00C95EAD" w:rsidRDefault="000F27BD" w:rsidP="001925DE">
      <w:pPr>
        <w:autoSpaceDE w:val="0"/>
        <w:autoSpaceDN w:val="0"/>
        <w:adjustRightInd w:val="0"/>
        <w:spacing w:line="360" w:lineRule="auto"/>
        <w:ind w:leftChars="343" w:left="823" w:firstLineChars="196" w:firstLine="470"/>
        <w:rPr>
          <w:rFonts w:ascii="Cambria" w:hAnsi="Cambria"/>
          <w:bCs/>
          <w:noProof/>
          <w:szCs w:val="24"/>
        </w:rPr>
      </w:pPr>
      <w:r w:rsidRPr="00C95EAD">
        <w:rPr>
          <w:rFonts w:ascii="Cambria" w:hAnsi="Cambria" w:hint="eastAsia"/>
          <w:bCs/>
          <w:noProof/>
          <w:szCs w:val="24"/>
        </w:rPr>
        <w:t>软件外包系统迁移服务平台：以大连华信外包业务实践和项目经验为基础，提炼整理针对于目前正在使用但已陈旧，准备升级改造的软件资产的专业级方法论体系，作为软件升级改造的工程展开的理论基础，系统迁移方法论体系应涵盖：简明扼要的系统迁移作业的整体论述、针对大型机、</w:t>
      </w:r>
      <w:r w:rsidRPr="00C95EAD">
        <w:rPr>
          <w:rFonts w:ascii="Cambria" w:hAnsi="Cambria" w:hint="eastAsia"/>
          <w:bCs/>
          <w:noProof/>
          <w:szCs w:val="24"/>
        </w:rPr>
        <w:t>WEB</w:t>
      </w:r>
      <w:r w:rsidRPr="00C95EAD">
        <w:rPr>
          <w:rFonts w:ascii="Cambria" w:hAnsi="Cambria" w:hint="eastAsia"/>
          <w:bCs/>
          <w:noProof/>
          <w:szCs w:val="24"/>
        </w:rPr>
        <w:t>化的专门论述以及针对普遍流行语言，从而形成完备的知识理论体系，使系统迁移作业能够在科学的、客观的理论指导下完成，从而达到节约成本、提高效率、缩短开发周期、保证迁移产品质量的目标。</w:t>
      </w:r>
    </w:p>
    <w:p w:rsidR="00C4307D" w:rsidRDefault="00FE2E13" w:rsidP="00C95EAD">
      <w:pPr>
        <w:pStyle w:val="4"/>
        <w:rPr>
          <w:noProof/>
        </w:rPr>
      </w:pPr>
      <w:r>
        <w:rPr>
          <w:noProof/>
        </w:rPr>
        <w:lastRenderedPageBreak/>
        <w:pict>
          <v:shape id="_x0000_s1036" type="#_x0000_t202" style="position:absolute;left:0;text-align:left;margin-left:276pt;margin-top:21.35pt;width:420.75pt;height:156.75pt;z-index:251669504" filled="f" stroked="f">
            <v:textbox style="mso-next-textbox:#_x0000_s1036">
              <w:txbxContent>
                <w:p w:rsidR="00C95EAD" w:rsidRDefault="00C95EAD" w:rsidP="000F27BD">
                  <w:pPr>
                    <w:spacing w:line="360" w:lineRule="auto"/>
                    <w:rPr>
                      <w:rFonts w:ascii="Cambria" w:hAnsi="Cambria"/>
                      <w:b/>
                      <w:bCs/>
                      <w:noProof/>
                      <w:szCs w:val="24"/>
                    </w:rPr>
                  </w:pPr>
                  <w:r>
                    <w:rPr>
                      <w:rFonts w:ascii="Cambria" w:hAnsi="Cambria" w:hint="eastAsia"/>
                      <w:b/>
                      <w:bCs/>
                      <w:noProof/>
                      <w:szCs w:val="24"/>
                    </w:rPr>
                    <w:t>公司介绍</w:t>
                  </w:r>
                </w:p>
                <w:p w:rsidR="000F27BD" w:rsidRPr="00C95EAD" w:rsidRDefault="000F27BD" w:rsidP="00C95EAD">
                  <w:pPr>
                    <w:spacing w:line="360" w:lineRule="auto"/>
                    <w:ind w:firstLineChars="196" w:firstLine="470"/>
                    <w:rPr>
                      <w:bCs/>
                      <w:color w:val="000000"/>
                      <w:szCs w:val="24"/>
                      <w:shd w:val="clear" w:color="auto" w:fill="FFFFFF"/>
                    </w:rPr>
                  </w:pPr>
                  <w:r w:rsidRPr="00C95EAD">
                    <w:rPr>
                      <w:rFonts w:ascii="Cambria" w:hAnsi="Cambria" w:hint="eastAsia"/>
                      <w:bCs/>
                      <w:noProof/>
                      <w:szCs w:val="24"/>
                    </w:rPr>
                    <w:t>博彦科技股份有限公司，亚洲领先的全方位</w:t>
                  </w:r>
                  <w:r w:rsidRPr="00C95EAD">
                    <w:rPr>
                      <w:rFonts w:ascii="Cambria" w:hAnsi="Cambria"/>
                      <w:bCs/>
                      <w:noProof/>
                      <w:szCs w:val="24"/>
                    </w:rPr>
                    <w:t>IT</w:t>
                  </w:r>
                  <w:r w:rsidRPr="00C95EAD">
                    <w:rPr>
                      <w:rFonts w:ascii="Cambria" w:hAnsi="Cambria" w:hint="eastAsia"/>
                      <w:bCs/>
                      <w:noProof/>
                      <w:szCs w:val="24"/>
                    </w:rPr>
                    <w:t>服务及行业解决方案提供商，具备全球范围内的交付能力。业务范围涵盖咨询及解决方案、</w:t>
                  </w:r>
                  <w:r w:rsidRPr="00C95EAD">
                    <w:rPr>
                      <w:rFonts w:ascii="Cambria" w:hAnsi="Cambria"/>
                      <w:bCs/>
                      <w:noProof/>
                      <w:szCs w:val="24"/>
                    </w:rPr>
                    <w:t>IT</w:t>
                  </w:r>
                  <w:r w:rsidRPr="00C95EAD">
                    <w:rPr>
                      <w:rFonts w:ascii="Cambria" w:hAnsi="Cambria" w:hint="eastAsia"/>
                      <w:bCs/>
                      <w:noProof/>
                      <w:szCs w:val="24"/>
                    </w:rPr>
                    <w:t>服务、应用程序开发和维护、</w:t>
                  </w:r>
                  <w:r w:rsidRPr="00C95EAD">
                    <w:rPr>
                      <w:rFonts w:ascii="Cambria" w:hAnsi="Cambria"/>
                      <w:bCs/>
                      <w:noProof/>
                      <w:szCs w:val="24"/>
                    </w:rPr>
                    <w:t>ERP</w:t>
                  </w:r>
                  <w:r w:rsidRPr="00C95EAD">
                    <w:rPr>
                      <w:rFonts w:ascii="Cambria" w:hAnsi="Cambria" w:hint="eastAsia"/>
                      <w:bCs/>
                      <w:noProof/>
                      <w:szCs w:val="24"/>
                    </w:rPr>
                    <w:t>和</w:t>
                  </w:r>
                  <w:r w:rsidRPr="00C95EAD">
                    <w:rPr>
                      <w:rFonts w:ascii="Cambria" w:hAnsi="Cambria"/>
                      <w:bCs/>
                      <w:noProof/>
                      <w:szCs w:val="24"/>
                    </w:rPr>
                    <w:t>BPO</w:t>
                  </w:r>
                  <w:r w:rsidRPr="00C95EAD">
                    <w:rPr>
                      <w:rFonts w:ascii="Cambria" w:hAnsi="Cambria" w:hint="eastAsia"/>
                      <w:bCs/>
                      <w:noProof/>
                      <w:szCs w:val="24"/>
                    </w:rPr>
                    <w:t>（业务流程外包）等服务，专注于高科技、金融服务、电信工程、医药、制造等领域。</w:t>
                  </w:r>
                  <w:r w:rsidRPr="00C95EAD">
                    <w:rPr>
                      <w:rFonts w:ascii="Cambria" w:hAnsi="Cambria"/>
                      <w:bCs/>
                      <w:noProof/>
                      <w:szCs w:val="24"/>
                    </w:rPr>
                    <w:t xml:space="preserve"> </w:t>
                  </w:r>
                </w:p>
                <w:p w:rsidR="000F27BD" w:rsidRPr="000F27BD" w:rsidRDefault="000F27BD" w:rsidP="000F27BD">
                  <w:pPr>
                    <w:spacing w:line="360" w:lineRule="auto"/>
                    <w:rPr>
                      <w:rFonts w:ascii="宋体" w:hAnsi="宋体"/>
                      <w:b/>
                      <w:bCs/>
                      <w:color w:val="000000"/>
                      <w:szCs w:val="24"/>
                      <w:shd w:val="clear" w:color="auto" w:fill="FFFFFF"/>
                    </w:rPr>
                  </w:pPr>
                </w:p>
              </w:txbxContent>
            </v:textbox>
          </v:shape>
        </w:pict>
      </w:r>
      <w:bookmarkStart w:id="10" w:name="_Toc402948434"/>
      <w:r w:rsidR="004502A3" w:rsidRPr="00B44C77">
        <w:rPr>
          <w:rFonts w:hint="eastAsia"/>
          <w:noProof/>
        </w:rPr>
        <w:t>博彦科技</w:t>
      </w:r>
      <w:bookmarkEnd w:id="10"/>
      <w:r w:rsidR="004502A3" w:rsidRPr="00B44C77">
        <w:rPr>
          <w:rFonts w:hint="eastAsia"/>
          <w:noProof/>
        </w:rPr>
        <w:t xml:space="preserve"> </w:t>
      </w:r>
      <w:r w:rsidR="005A04DD" w:rsidRPr="005A04DD">
        <w:rPr>
          <w:rFonts w:hint="eastAsia"/>
          <w:noProof/>
        </w:rPr>
        <w:t>：专注及持续创新</w:t>
      </w:r>
    </w:p>
    <w:p w:rsidR="000F27BD" w:rsidRDefault="000F27BD" w:rsidP="000F27BD">
      <w:pPr>
        <w:autoSpaceDE w:val="0"/>
        <w:autoSpaceDN w:val="0"/>
        <w:adjustRightInd w:val="0"/>
        <w:spacing w:line="360" w:lineRule="auto"/>
        <w:ind w:left="720"/>
        <w:jc w:val="left"/>
        <w:rPr>
          <w:rFonts w:ascii="Cambria" w:hAnsi="Cambria"/>
          <w:b/>
          <w:bCs/>
          <w:noProof/>
          <w:sz w:val="28"/>
          <w:szCs w:val="28"/>
        </w:rPr>
      </w:pPr>
      <w:r w:rsidRPr="000F27BD">
        <w:rPr>
          <w:rFonts w:ascii="Cambria" w:hAnsi="Cambria"/>
          <w:b/>
          <w:bCs/>
          <w:noProof/>
          <w:sz w:val="28"/>
          <w:szCs w:val="28"/>
        </w:rPr>
        <w:drawing>
          <wp:inline distT="0" distB="0" distL="0" distR="0">
            <wp:extent cx="2819400" cy="1704975"/>
            <wp:effectExtent l="19050" t="0" r="0" b="0"/>
            <wp:docPr id="24" name="图片 10" descr="博彦科技.jpg"/>
            <wp:cNvGraphicFramePr/>
            <a:graphic xmlns:a="http://schemas.openxmlformats.org/drawingml/2006/main">
              <a:graphicData uri="http://schemas.openxmlformats.org/drawingml/2006/picture">
                <pic:pic xmlns:pic="http://schemas.openxmlformats.org/drawingml/2006/picture">
                  <pic:nvPicPr>
                    <pic:cNvPr id="139273" name="图片 6" descr="博彦科技.jpg"/>
                    <pic:cNvPicPr>
                      <a:picLocks noChangeAspect="1"/>
                    </pic:cNvPicPr>
                  </pic:nvPicPr>
                  <pic:blipFill>
                    <a:blip r:embed="rId17"/>
                    <a:srcRect/>
                    <a:stretch>
                      <a:fillRect/>
                    </a:stretch>
                  </pic:blipFill>
                  <pic:spPr bwMode="auto">
                    <a:xfrm>
                      <a:off x="0" y="0"/>
                      <a:ext cx="2819400" cy="1704975"/>
                    </a:xfrm>
                    <a:prstGeom prst="rect">
                      <a:avLst/>
                    </a:prstGeom>
                    <a:noFill/>
                    <a:ln w="9525">
                      <a:noFill/>
                      <a:miter lim="800000"/>
                      <a:headEnd/>
                      <a:tailEnd/>
                    </a:ln>
                  </pic:spPr>
                </pic:pic>
              </a:graphicData>
            </a:graphic>
          </wp:inline>
        </w:drawing>
      </w:r>
    </w:p>
    <w:p w:rsidR="00C95EAD" w:rsidRDefault="00A57FDB" w:rsidP="00A57FDB">
      <w:pPr>
        <w:autoSpaceDE w:val="0"/>
        <w:autoSpaceDN w:val="0"/>
        <w:adjustRightInd w:val="0"/>
        <w:spacing w:line="360" w:lineRule="auto"/>
        <w:ind w:left="720"/>
        <w:jc w:val="left"/>
        <w:rPr>
          <w:rFonts w:ascii="Cambria" w:hAnsi="Cambria"/>
          <w:b/>
          <w:bCs/>
          <w:noProof/>
          <w:szCs w:val="24"/>
        </w:rPr>
      </w:pPr>
      <w:r w:rsidRPr="00C95EAD">
        <w:rPr>
          <w:rFonts w:ascii="Cambria" w:hAnsi="Cambria" w:hint="eastAsia"/>
          <w:b/>
          <w:bCs/>
          <w:noProof/>
          <w:szCs w:val="24"/>
        </w:rPr>
        <w:t>公司发展模式</w:t>
      </w:r>
    </w:p>
    <w:p w:rsidR="00A57FDB" w:rsidRPr="00C95EAD" w:rsidRDefault="00A57FDB" w:rsidP="001925DE">
      <w:pPr>
        <w:autoSpaceDE w:val="0"/>
        <w:autoSpaceDN w:val="0"/>
        <w:adjustRightInd w:val="0"/>
        <w:spacing w:line="360" w:lineRule="auto"/>
        <w:ind w:leftChars="343" w:left="823" w:firstLineChars="196" w:firstLine="470"/>
        <w:jc w:val="left"/>
        <w:rPr>
          <w:rFonts w:ascii="Cambria" w:hAnsi="Cambria"/>
          <w:b/>
          <w:bCs/>
          <w:noProof/>
          <w:szCs w:val="24"/>
        </w:rPr>
      </w:pPr>
      <w:r w:rsidRPr="00C95EAD">
        <w:rPr>
          <w:rFonts w:ascii="Cambria" w:hAnsi="Cambria" w:hint="eastAsia"/>
          <w:bCs/>
          <w:noProof/>
          <w:szCs w:val="24"/>
        </w:rPr>
        <w:t>博彦科技是亚洲领先的全方位</w:t>
      </w:r>
      <w:r w:rsidRPr="00C95EAD">
        <w:rPr>
          <w:rFonts w:ascii="Cambria" w:hAnsi="Cambria"/>
          <w:bCs/>
          <w:noProof/>
          <w:szCs w:val="24"/>
        </w:rPr>
        <w:t>IT</w:t>
      </w:r>
      <w:r w:rsidRPr="00C95EAD">
        <w:rPr>
          <w:rFonts w:ascii="Cambria" w:hAnsi="Cambria" w:hint="eastAsia"/>
          <w:bCs/>
          <w:noProof/>
          <w:szCs w:val="24"/>
        </w:rPr>
        <w:t>服务及行业解决方案提供商，具备全球范围内的交付能力。业务范围涵盖咨询及解决方案、</w:t>
      </w:r>
      <w:r w:rsidRPr="00C95EAD">
        <w:rPr>
          <w:rFonts w:ascii="Cambria" w:hAnsi="Cambria"/>
          <w:bCs/>
          <w:noProof/>
          <w:szCs w:val="24"/>
        </w:rPr>
        <w:t>IT</w:t>
      </w:r>
      <w:r w:rsidRPr="00C95EAD">
        <w:rPr>
          <w:rFonts w:ascii="Cambria" w:hAnsi="Cambria" w:hint="eastAsia"/>
          <w:bCs/>
          <w:noProof/>
          <w:szCs w:val="24"/>
        </w:rPr>
        <w:t>服务、应用程序开发和维护、</w:t>
      </w:r>
      <w:r w:rsidRPr="00C95EAD">
        <w:rPr>
          <w:rFonts w:ascii="Cambria" w:hAnsi="Cambria"/>
          <w:bCs/>
          <w:noProof/>
          <w:szCs w:val="24"/>
        </w:rPr>
        <w:t>ERP</w:t>
      </w:r>
      <w:r w:rsidRPr="00C95EAD">
        <w:rPr>
          <w:rFonts w:ascii="Cambria" w:hAnsi="Cambria" w:hint="eastAsia"/>
          <w:bCs/>
          <w:noProof/>
          <w:szCs w:val="24"/>
        </w:rPr>
        <w:t>和</w:t>
      </w:r>
      <w:r w:rsidRPr="00C95EAD">
        <w:rPr>
          <w:rFonts w:ascii="Cambria" w:hAnsi="Cambria"/>
          <w:bCs/>
          <w:noProof/>
          <w:szCs w:val="24"/>
        </w:rPr>
        <w:t>BPO</w:t>
      </w:r>
      <w:r w:rsidRPr="00C95EAD">
        <w:rPr>
          <w:rFonts w:ascii="Cambria" w:hAnsi="Cambria" w:hint="eastAsia"/>
          <w:bCs/>
          <w:noProof/>
          <w:szCs w:val="24"/>
        </w:rPr>
        <w:t>（业务流程外包）等服务，专注于高科技、金融服务、电信工程、医药、制造等领域，积累了丰富的经验，与众多全球</w:t>
      </w:r>
      <w:r w:rsidRPr="00C95EAD">
        <w:rPr>
          <w:rFonts w:ascii="Cambria" w:hAnsi="Cambria"/>
          <w:bCs/>
          <w:noProof/>
          <w:szCs w:val="24"/>
        </w:rPr>
        <w:t>500</w:t>
      </w:r>
      <w:r w:rsidRPr="00C95EAD">
        <w:rPr>
          <w:rFonts w:ascii="Cambria" w:hAnsi="Cambria" w:hint="eastAsia"/>
          <w:bCs/>
          <w:noProof/>
          <w:szCs w:val="24"/>
        </w:rPr>
        <w:t>强企业和世界领先科技公司成功合作，是全球客户信赖的</w:t>
      </w:r>
      <w:r w:rsidRPr="00C95EAD">
        <w:rPr>
          <w:rFonts w:ascii="Cambria" w:hAnsi="Cambria"/>
          <w:bCs/>
          <w:noProof/>
          <w:szCs w:val="24"/>
        </w:rPr>
        <w:t>IT</w:t>
      </w:r>
      <w:r w:rsidRPr="00C95EAD">
        <w:rPr>
          <w:rFonts w:ascii="Cambria" w:hAnsi="Cambria" w:hint="eastAsia"/>
          <w:bCs/>
          <w:noProof/>
          <w:szCs w:val="24"/>
        </w:rPr>
        <w:t>综合服务提供商和战略合作伙伴。</w:t>
      </w:r>
      <w:r w:rsidRPr="00C95EAD">
        <w:rPr>
          <w:rFonts w:ascii="Cambria" w:hAnsi="Cambria"/>
          <w:bCs/>
          <w:noProof/>
          <w:szCs w:val="24"/>
        </w:rPr>
        <w:t xml:space="preserve"> </w:t>
      </w:r>
    </w:p>
    <w:p w:rsidR="00C95EAD" w:rsidRDefault="00A57FDB" w:rsidP="00A57FDB">
      <w:pPr>
        <w:autoSpaceDE w:val="0"/>
        <w:autoSpaceDN w:val="0"/>
        <w:adjustRightInd w:val="0"/>
        <w:spacing w:line="360" w:lineRule="auto"/>
        <w:ind w:left="720"/>
        <w:rPr>
          <w:rFonts w:ascii="Cambria" w:hAnsi="Cambria"/>
          <w:b/>
          <w:bCs/>
          <w:noProof/>
          <w:szCs w:val="24"/>
        </w:rPr>
      </w:pPr>
      <w:r w:rsidRPr="00C95EAD">
        <w:rPr>
          <w:rFonts w:ascii="Cambria" w:hAnsi="Cambria" w:hint="eastAsia"/>
          <w:b/>
          <w:bCs/>
          <w:noProof/>
          <w:szCs w:val="24"/>
        </w:rPr>
        <w:t>智慧城市</w:t>
      </w:r>
    </w:p>
    <w:p w:rsidR="00A57FDB" w:rsidRPr="00C95EAD" w:rsidRDefault="00A57FDB" w:rsidP="001925DE">
      <w:pPr>
        <w:autoSpaceDE w:val="0"/>
        <w:autoSpaceDN w:val="0"/>
        <w:adjustRightInd w:val="0"/>
        <w:spacing w:line="360" w:lineRule="auto"/>
        <w:ind w:leftChars="343" w:left="823" w:firstLineChars="196" w:firstLine="470"/>
        <w:rPr>
          <w:rFonts w:ascii="Cambria" w:hAnsi="Cambria"/>
          <w:b/>
          <w:bCs/>
          <w:noProof/>
          <w:szCs w:val="24"/>
        </w:rPr>
      </w:pPr>
      <w:r w:rsidRPr="00C95EAD">
        <w:rPr>
          <w:rFonts w:ascii="Cambria" w:hAnsi="Cambria" w:hint="eastAsia"/>
          <w:bCs/>
          <w:noProof/>
          <w:szCs w:val="24"/>
        </w:rPr>
        <w:t>软通动力智慧城市运营指挥中心，充分利用云计算、大数据等技术，通过对城市海量数据的感知化采集、智能性挖掘、量化式分析，将城市各个领域的数据资源以“可视化”和“立体化”的方式呈现出来。帮助政府全面解决“城市病”问题，为城市决策、规划以及发展提供实时的依据。指挥中心不仅将政府真正带入智慧化大数据时代，也将成为开启未来城市管理的“万能钥匙”。</w:t>
      </w:r>
    </w:p>
    <w:p w:rsidR="00C95EAD" w:rsidRPr="00A57FDB" w:rsidRDefault="00C95EAD" w:rsidP="001925DE">
      <w:pPr>
        <w:autoSpaceDE w:val="0"/>
        <w:autoSpaceDN w:val="0"/>
        <w:adjustRightInd w:val="0"/>
        <w:spacing w:line="360" w:lineRule="auto"/>
        <w:jc w:val="left"/>
        <w:rPr>
          <w:rFonts w:ascii="Cambria" w:hAnsi="Cambria"/>
          <w:b/>
          <w:bCs/>
          <w:noProof/>
          <w:sz w:val="28"/>
          <w:szCs w:val="28"/>
        </w:rPr>
      </w:pPr>
    </w:p>
    <w:p w:rsidR="00C4307D" w:rsidRDefault="004502A3" w:rsidP="00C95EAD">
      <w:pPr>
        <w:pStyle w:val="4"/>
        <w:rPr>
          <w:noProof/>
        </w:rPr>
      </w:pPr>
      <w:bookmarkStart w:id="11" w:name="_Toc402948435"/>
      <w:r w:rsidRPr="00B44C77">
        <w:rPr>
          <w:rFonts w:hint="eastAsia"/>
          <w:noProof/>
        </w:rPr>
        <w:lastRenderedPageBreak/>
        <w:t>中盈蓝海</w:t>
      </w:r>
      <w:r w:rsidRPr="00B44C77">
        <w:rPr>
          <w:rFonts w:hint="eastAsia"/>
          <w:noProof/>
        </w:rPr>
        <w:t xml:space="preserve"> </w:t>
      </w:r>
      <w:r w:rsidR="00A57FDB" w:rsidRPr="00A57FDB">
        <w:rPr>
          <w:rFonts w:hint="eastAsia"/>
          <w:noProof/>
        </w:rPr>
        <w:t>：技术组合及创新</w:t>
      </w:r>
      <w:bookmarkEnd w:id="11"/>
    </w:p>
    <w:p w:rsidR="00A57FDB" w:rsidRDefault="00FE2E13" w:rsidP="00A57FDB">
      <w:pPr>
        <w:autoSpaceDE w:val="0"/>
        <w:autoSpaceDN w:val="0"/>
        <w:adjustRightInd w:val="0"/>
        <w:spacing w:line="360" w:lineRule="auto"/>
        <w:ind w:left="720"/>
        <w:jc w:val="left"/>
        <w:rPr>
          <w:rFonts w:ascii="Cambria" w:hAnsi="Cambria"/>
          <w:b/>
          <w:bCs/>
          <w:noProof/>
          <w:sz w:val="28"/>
          <w:szCs w:val="28"/>
        </w:rPr>
      </w:pPr>
      <w:r w:rsidRPr="00FE2E13">
        <w:rPr>
          <w:b/>
          <w:bCs/>
          <w:noProof/>
        </w:rPr>
        <w:pict>
          <v:shape id="_x0000_s1037" type="#_x0000_t202" style="position:absolute;left:0;text-align:left;margin-left:227.25pt;margin-top:6.2pt;width:474.75pt;height:98.25pt;z-index:251670528" filled="f" stroked="f">
            <v:textbox style="mso-next-textbox:#_x0000_s1037">
              <w:txbxContent>
                <w:p w:rsidR="00C95EAD" w:rsidRDefault="00C95EAD" w:rsidP="00A57FDB">
                  <w:pPr>
                    <w:spacing w:line="360" w:lineRule="auto"/>
                    <w:rPr>
                      <w:rFonts w:ascii="Cambria" w:hAnsi="Cambria"/>
                      <w:b/>
                      <w:bCs/>
                      <w:noProof/>
                      <w:szCs w:val="24"/>
                    </w:rPr>
                  </w:pPr>
                  <w:r>
                    <w:rPr>
                      <w:rFonts w:ascii="Cambria" w:hAnsi="Cambria" w:hint="eastAsia"/>
                      <w:b/>
                      <w:bCs/>
                      <w:noProof/>
                      <w:szCs w:val="24"/>
                    </w:rPr>
                    <w:t>公司介绍</w:t>
                  </w:r>
                </w:p>
                <w:p w:rsidR="00A57FDB" w:rsidRPr="00C95EAD" w:rsidRDefault="00A57FDB" w:rsidP="00C95EAD">
                  <w:pPr>
                    <w:spacing w:line="360" w:lineRule="auto"/>
                    <w:ind w:firstLineChars="196" w:firstLine="470"/>
                    <w:rPr>
                      <w:rFonts w:ascii="宋体" w:hAnsi="宋体"/>
                      <w:b/>
                      <w:bCs/>
                      <w:color w:val="000000"/>
                      <w:szCs w:val="24"/>
                      <w:shd w:val="clear" w:color="auto" w:fill="FFFFFF"/>
                    </w:rPr>
                  </w:pPr>
                  <w:r w:rsidRPr="00C95EAD">
                    <w:rPr>
                      <w:rFonts w:ascii="Cambria" w:hAnsi="Cambria" w:hint="eastAsia"/>
                      <w:bCs/>
                      <w:noProof/>
                      <w:szCs w:val="24"/>
                    </w:rPr>
                    <w:t>中盈蓝海拥有包括商业流程外包领域经验丰富，软件技术开发过硬的专业人员和海外本土营销人员组成的开拓创新型团队，员工总数超过千人，连续七年入围“中国服务外包企业最佳实践五十强”。</w:t>
                  </w:r>
                  <w:r w:rsidRPr="00C95EAD">
                    <w:rPr>
                      <w:rFonts w:ascii="宋体" w:hAnsi="宋体" w:hint="eastAsia"/>
                      <w:bCs/>
                      <w:color w:val="000000"/>
                      <w:szCs w:val="24"/>
                      <w:shd w:val="clear" w:color="auto" w:fill="FFFFFF"/>
                    </w:rPr>
                    <w:t xml:space="preserve"> </w:t>
                  </w:r>
                </w:p>
              </w:txbxContent>
            </v:textbox>
          </v:shape>
        </w:pict>
      </w:r>
      <w:r w:rsidR="00A57FDB" w:rsidRPr="00A57FDB">
        <w:rPr>
          <w:rFonts w:ascii="Cambria" w:hAnsi="Cambria"/>
          <w:b/>
          <w:bCs/>
          <w:noProof/>
          <w:sz w:val="28"/>
          <w:szCs w:val="28"/>
        </w:rPr>
        <w:drawing>
          <wp:inline distT="0" distB="0" distL="0" distR="0">
            <wp:extent cx="2076450" cy="1333500"/>
            <wp:effectExtent l="19050" t="0" r="0" b="0"/>
            <wp:docPr id="25" name="图片 11" descr="中盈蓝海a.jpeg"/>
            <wp:cNvGraphicFramePr/>
            <a:graphic xmlns:a="http://schemas.openxmlformats.org/drawingml/2006/main">
              <a:graphicData uri="http://schemas.openxmlformats.org/drawingml/2006/picture">
                <pic:pic xmlns:pic="http://schemas.openxmlformats.org/drawingml/2006/picture">
                  <pic:nvPicPr>
                    <pic:cNvPr id="141320" name="图片 7" descr="中盈蓝海a.jpeg"/>
                    <pic:cNvPicPr>
                      <a:picLocks noChangeAspect="1"/>
                    </pic:cNvPicPr>
                  </pic:nvPicPr>
                  <pic:blipFill>
                    <a:blip r:embed="rId18"/>
                    <a:srcRect/>
                    <a:stretch>
                      <a:fillRect/>
                    </a:stretch>
                  </pic:blipFill>
                  <pic:spPr bwMode="auto">
                    <a:xfrm>
                      <a:off x="0" y="0"/>
                      <a:ext cx="2076450" cy="1333500"/>
                    </a:xfrm>
                    <a:prstGeom prst="rect">
                      <a:avLst/>
                    </a:prstGeom>
                    <a:noFill/>
                    <a:ln w="9525">
                      <a:noFill/>
                      <a:miter lim="800000"/>
                      <a:headEnd/>
                      <a:tailEnd/>
                    </a:ln>
                  </pic:spPr>
                </pic:pic>
              </a:graphicData>
            </a:graphic>
          </wp:inline>
        </w:drawing>
      </w:r>
    </w:p>
    <w:p w:rsidR="00C95EAD" w:rsidRDefault="00A57FDB" w:rsidP="00C95EAD">
      <w:pPr>
        <w:autoSpaceDE w:val="0"/>
        <w:autoSpaceDN w:val="0"/>
        <w:adjustRightInd w:val="0"/>
        <w:spacing w:line="360" w:lineRule="auto"/>
        <w:jc w:val="left"/>
        <w:rPr>
          <w:rFonts w:ascii="Cambria" w:hAnsi="Cambria"/>
          <w:b/>
          <w:bCs/>
          <w:noProof/>
          <w:szCs w:val="24"/>
        </w:rPr>
      </w:pPr>
      <w:r w:rsidRPr="00C95EAD">
        <w:rPr>
          <w:rFonts w:ascii="Cambria" w:hAnsi="Cambria" w:hint="eastAsia"/>
          <w:b/>
          <w:bCs/>
          <w:noProof/>
          <w:szCs w:val="24"/>
        </w:rPr>
        <w:t>公司发展模式</w:t>
      </w:r>
    </w:p>
    <w:p w:rsidR="00A57FDB" w:rsidRPr="00C95EAD" w:rsidRDefault="00C95EAD" w:rsidP="00C95EAD">
      <w:pPr>
        <w:autoSpaceDE w:val="0"/>
        <w:autoSpaceDN w:val="0"/>
        <w:adjustRightInd w:val="0"/>
        <w:spacing w:line="360" w:lineRule="auto"/>
        <w:jc w:val="left"/>
        <w:rPr>
          <w:rFonts w:ascii="Cambria" w:hAnsi="Cambria"/>
          <w:b/>
          <w:bCs/>
          <w:noProof/>
          <w:szCs w:val="24"/>
        </w:rPr>
      </w:pPr>
      <w:r>
        <w:rPr>
          <w:rFonts w:ascii="Cambria" w:hAnsi="Cambria" w:hint="eastAsia"/>
          <w:b/>
          <w:bCs/>
          <w:noProof/>
          <w:szCs w:val="24"/>
        </w:rPr>
        <w:t xml:space="preserve">    </w:t>
      </w:r>
      <w:r w:rsidR="00A57FDB" w:rsidRPr="00C95EAD">
        <w:rPr>
          <w:rFonts w:ascii="Cambria" w:hAnsi="Cambria" w:hint="eastAsia"/>
          <w:bCs/>
          <w:noProof/>
          <w:szCs w:val="24"/>
        </w:rPr>
        <w:t>中盈蓝海创新技术股份有限公司一直秉承科技创新的理念，以帮助客户实现价值为己任，专注于为客户提供专业的数字化解决方案。在金融、保险、教育、司法、出版印刷、健康医疗、事业单位以及政府机构等多个领域均有突出贡献，尤其得到欧美、日本等海外市场客户的一致好评。</w:t>
      </w:r>
      <w:r w:rsidR="00A57FDB" w:rsidRPr="00C95EAD">
        <w:rPr>
          <w:rFonts w:ascii="Cambria" w:hAnsi="Cambria" w:hint="eastAsia"/>
          <w:bCs/>
          <w:noProof/>
          <w:szCs w:val="24"/>
        </w:rPr>
        <w:t xml:space="preserve"> </w:t>
      </w:r>
    </w:p>
    <w:p w:rsidR="00C95EAD" w:rsidRDefault="00A57FDB" w:rsidP="00C95EAD">
      <w:pPr>
        <w:autoSpaceDE w:val="0"/>
        <w:autoSpaceDN w:val="0"/>
        <w:adjustRightInd w:val="0"/>
        <w:spacing w:line="360" w:lineRule="auto"/>
        <w:rPr>
          <w:rFonts w:ascii="Cambria" w:hAnsi="Cambria"/>
          <w:b/>
          <w:bCs/>
          <w:noProof/>
          <w:szCs w:val="24"/>
        </w:rPr>
      </w:pPr>
      <w:r w:rsidRPr="00C95EAD">
        <w:rPr>
          <w:rFonts w:ascii="Cambria" w:hAnsi="Cambria" w:hint="eastAsia"/>
          <w:b/>
          <w:bCs/>
          <w:noProof/>
          <w:szCs w:val="24"/>
        </w:rPr>
        <w:t>创新案例</w:t>
      </w:r>
    </w:p>
    <w:p w:rsidR="00A57FDB" w:rsidRPr="00C95EAD" w:rsidRDefault="00C95EAD" w:rsidP="00C95EAD">
      <w:pPr>
        <w:autoSpaceDE w:val="0"/>
        <w:autoSpaceDN w:val="0"/>
        <w:adjustRightInd w:val="0"/>
        <w:spacing w:line="360" w:lineRule="auto"/>
        <w:rPr>
          <w:rFonts w:ascii="Cambria" w:hAnsi="Cambria"/>
          <w:b/>
          <w:bCs/>
          <w:noProof/>
          <w:szCs w:val="24"/>
        </w:rPr>
      </w:pPr>
      <w:r>
        <w:rPr>
          <w:rFonts w:ascii="Cambria" w:hAnsi="Cambria" w:hint="eastAsia"/>
          <w:b/>
          <w:bCs/>
          <w:noProof/>
          <w:szCs w:val="24"/>
        </w:rPr>
        <w:t xml:space="preserve">    </w:t>
      </w:r>
      <w:r w:rsidR="00A57FDB" w:rsidRPr="00C95EAD">
        <w:rPr>
          <w:rFonts w:ascii="Cambria" w:hAnsi="Cambria" w:hint="eastAsia"/>
          <w:bCs/>
          <w:noProof/>
          <w:szCs w:val="24"/>
        </w:rPr>
        <w:t>BPO</w:t>
      </w:r>
      <w:r w:rsidR="00A57FDB" w:rsidRPr="00C95EAD">
        <w:rPr>
          <w:rFonts w:ascii="Cambria" w:hAnsi="Cambria" w:hint="eastAsia"/>
          <w:bCs/>
          <w:noProof/>
          <w:szCs w:val="24"/>
        </w:rPr>
        <w:t>业务数据处理云服务系统：项目采用软硬相结合，根据自身需求，优选各种技术和产品，将各个分离的子系统连接成为一个完整、可靠、经济和有效的整体，并使之能彼此协调工作，发挥整体效益，达到整体性能最优；在使用网络化信息时需要的已不再是物理设备和应用软件，而是通过它们来帮助企业提高生产效率；由于公司的业务处理管理平台属于公司专利产品，所以涉及产品信息安全，保护措施也需要妥善处理。</w:t>
      </w:r>
    </w:p>
    <w:p w:rsidR="00A57FDB" w:rsidRPr="00A57FDB" w:rsidRDefault="00A57FDB" w:rsidP="00A57FDB">
      <w:pPr>
        <w:autoSpaceDE w:val="0"/>
        <w:autoSpaceDN w:val="0"/>
        <w:adjustRightInd w:val="0"/>
        <w:spacing w:line="360" w:lineRule="auto"/>
        <w:ind w:left="720"/>
        <w:jc w:val="left"/>
        <w:rPr>
          <w:rFonts w:ascii="Cambria" w:hAnsi="Cambria"/>
          <w:b/>
          <w:bCs/>
          <w:noProof/>
          <w:sz w:val="28"/>
          <w:szCs w:val="28"/>
        </w:rPr>
      </w:pPr>
    </w:p>
    <w:p w:rsidR="00A57FDB" w:rsidRDefault="00A57FDB" w:rsidP="00C95EAD">
      <w:pPr>
        <w:autoSpaceDE w:val="0"/>
        <w:autoSpaceDN w:val="0"/>
        <w:adjustRightInd w:val="0"/>
        <w:spacing w:line="360" w:lineRule="auto"/>
        <w:jc w:val="left"/>
        <w:rPr>
          <w:rFonts w:ascii="Cambria" w:hAnsi="Cambria"/>
          <w:b/>
          <w:bCs/>
          <w:noProof/>
          <w:sz w:val="28"/>
          <w:szCs w:val="28"/>
        </w:rPr>
      </w:pPr>
    </w:p>
    <w:p w:rsidR="00C4307D" w:rsidRPr="001925DE" w:rsidRDefault="00FE2E13" w:rsidP="001925DE">
      <w:pPr>
        <w:pStyle w:val="4"/>
      </w:pPr>
      <w:r>
        <w:lastRenderedPageBreak/>
        <w:pict>
          <v:shape id="_x0000_s1038" type="#_x0000_t202" style="position:absolute;left:0;text-align:left;margin-left:236.25pt;margin-top:31.1pt;width:471pt;height:199.5pt;z-index:251671552" filled="f" stroked="f">
            <v:textbox style="mso-next-textbox:#_x0000_s1038">
              <w:txbxContent>
                <w:p w:rsidR="001925DE" w:rsidRPr="001925DE" w:rsidRDefault="001925DE" w:rsidP="001925DE">
                  <w:pPr>
                    <w:rPr>
                      <w:rFonts w:ascii="Cambria" w:hAnsi="Cambria"/>
                      <w:b/>
                      <w:bCs/>
                      <w:noProof/>
                      <w:szCs w:val="24"/>
                    </w:rPr>
                  </w:pPr>
                  <w:r w:rsidRPr="001925DE">
                    <w:rPr>
                      <w:rFonts w:ascii="Cambria" w:hAnsi="Cambria" w:hint="eastAsia"/>
                      <w:b/>
                      <w:bCs/>
                      <w:noProof/>
                      <w:szCs w:val="24"/>
                    </w:rPr>
                    <w:t xml:space="preserve"> </w:t>
                  </w:r>
                  <w:r w:rsidRPr="001925DE">
                    <w:rPr>
                      <w:rFonts w:ascii="Cambria" w:hAnsi="Cambria" w:hint="eastAsia"/>
                      <w:b/>
                      <w:bCs/>
                      <w:noProof/>
                      <w:szCs w:val="24"/>
                    </w:rPr>
                    <w:t>公司介绍</w:t>
                  </w:r>
                  <w:r w:rsidRPr="001925DE">
                    <w:rPr>
                      <w:rFonts w:ascii="Cambria" w:hAnsi="Cambria" w:hint="eastAsia"/>
                      <w:b/>
                      <w:bCs/>
                      <w:noProof/>
                      <w:szCs w:val="24"/>
                    </w:rPr>
                    <w:t xml:space="preserve">  </w:t>
                  </w:r>
                </w:p>
                <w:p w:rsidR="00C4307D" w:rsidRPr="001925DE" w:rsidRDefault="001925DE" w:rsidP="001925DE">
                  <w:pPr>
                    <w:spacing w:line="360" w:lineRule="auto"/>
                    <w:rPr>
                      <w:noProof/>
                    </w:rPr>
                  </w:pPr>
                  <w:r>
                    <w:rPr>
                      <w:rFonts w:ascii="Cambria" w:hAnsi="Cambria" w:hint="eastAsia"/>
                      <w:noProof/>
                    </w:rPr>
                    <w:t xml:space="preserve">  </w:t>
                  </w:r>
                  <w:r w:rsidRPr="001925DE">
                    <w:rPr>
                      <w:rFonts w:hint="eastAsia"/>
                      <w:noProof/>
                    </w:rPr>
                    <w:t xml:space="preserve">  </w:t>
                  </w:r>
                  <w:r w:rsidR="004502A3" w:rsidRPr="001925DE">
                    <w:rPr>
                      <w:rFonts w:hint="eastAsia"/>
                      <w:noProof/>
                    </w:rPr>
                    <w:t>药明康德于</w:t>
                  </w:r>
                  <w:r w:rsidR="004502A3" w:rsidRPr="001925DE">
                    <w:rPr>
                      <w:rFonts w:hint="eastAsia"/>
                      <w:noProof/>
                    </w:rPr>
                    <w:t>2000</w:t>
                  </w:r>
                  <w:r w:rsidR="004502A3" w:rsidRPr="001925DE">
                    <w:rPr>
                      <w:rFonts w:hint="eastAsia"/>
                      <w:noProof/>
                    </w:rPr>
                    <w:t>年</w:t>
                  </w:r>
                  <w:r w:rsidR="004502A3" w:rsidRPr="001925DE">
                    <w:rPr>
                      <w:rFonts w:hint="eastAsia"/>
                      <w:noProof/>
                    </w:rPr>
                    <w:t>12</w:t>
                  </w:r>
                  <w:r w:rsidR="004502A3" w:rsidRPr="001925DE">
                    <w:rPr>
                      <w:rFonts w:hint="eastAsia"/>
                      <w:noProof/>
                    </w:rPr>
                    <w:t>月成立，是全球领先的制药、生物技术以及医疗器械研发外包服务公司，在中美两国均有运营实体。</w:t>
                  </w:r>
                  <w:r w:rsidRPr="001925DE">
                    <w:rPr>
                      <w:rFonts w:hint="eastAsia"/>
                      <w:noProof/>
                    </w:rPr>
                    <w:t>是中国最大的医药研发服务提供商，以全方位、一体化的方式提供新药研发服务。</w:t>
                  </w:r>
                  <w:r w:rsidR="004502A3" w:rsidRPr="001925DE">
                    <w:rPr>
                      <w:rFonts w:hint="eastAsia"/>
                      <w:noProof/>
                    </w:rPr>
                    <w:t>服务范围从新化合物研究（新药发现过程中使用的化学学科）、医药开发到生物服务，再到用于研发的原料药（</w:t>
                  </w:r>
                  <w:r w:rsidR="004502A3" w:rsidRPr="001925DE">
                    <w:rPr>
                      <w:rFonts w:hint="eastAsia"/>
                      <w:noProof/>
                    </w:rPr>
                    <w:t>API</w:t>
                  </w:r>
                  <w:r w:rsidR="004502A3" w:rsidRPr="001925DE">
                    <w:rPr>
                      <w:rFonts w:hint="eastAsia"/>
                      <w:noProof/>
                    </w:rPr>
                    <w:t>）的生产，一应俱全。</w:t>
                  </w:r>
                </w:p>
                <w:p w:rsidR="00A57FDB" w:rsidRPr="00A57FDB" w:rsidRDefault="00A57FDB" w:rsidP="00A57FDB"/>
              </w:txbxContent>
            </v:textbox>
          </v:shape>
        </w:pict>
      </w:r>
      <w:bookmarkStart w:id="12" w:name="_Toc402948436"/>
      <w:r w:rsidR="004502A3" w:rsidRPr="001925DE">
        <w:rPr>
          <w:rFonts w:hint="eastAsia"/>
        </w:rPr>
        <w:t>药明康德</w:t>
      </w:r>
      <w:r w:rsidR="004502A3" w:rsidRPr="001925DE">
        <w:rPr>
          <w:rFonts w:hint="eastAsia"/>
        </w:rPr>
        <w:t xml:space="preserve"> </w:t>
      </w:r>
      <w:r w:rsidR="00A57FDB" w:rsidRPr="001925DE">
        <w:rPr>
          <w:rFonts w:hint="eastAsia"/>
        </w:rPr>
        <w:t>：专注细分领域内做深</w:t>
      </w:r>
      <w:bookmarkEnd w:id="12"/>
    </w:p>
    <w:p w:rsidR="00A57FDB" w:rsidRDefault="00A57FDB" w:rsidP="00A57FDB">
      <w:pPr>
        <w:autoSpaceDE w:val="0"/>
        <w:autoSpaceDN w:val="0"/>
        <w:adjustRightInd w:val="0"/>
        <w:spacing w:line="360" w:lineRule="auto"/>
        <w:jc w:val="left"/>
        <w:rPr>
          <w:rFonts w:ascii="Cambria" w:hAnsi="Cambria"/>
          <w:b/>
          <w:bCs/>
          <w:noProof/>
          <w:sz w:val="28"/>
          <w:szCs w:val="28"/>
        </w:rPr>
      </w:pPr>
      <w:r w:rsidRPr="00A57FDB">
        <w:rPr>
          <w:rFonts w:ascii="Cambria" w:hAnsi="Cambria"/>
          <w:b/>
          <w:bCs/>
          <w:noProof/>
          <w:sz w:val="28"/>
          <w:szCs w:val="28"/>
        </w:rPr>
        <w:drawing>
          <wp:inline distT="0" distB="0" distL="0" distR="0">
            <wp:extent cx="2495550" cy="1009650"/>
            <wp:effectExtent l="19050" t="0" r="0" b="0"/>
            <wp:docPr id="26" name="图片 12" descr="药明康德"/>
            <wp:cNvGraphicFramePr/>
            <a:graphic xmlns:a="http://schemas.openxmlformats.org/drawingml/2006/main">
              <a:graphicData uri="http://schemas.openxmlformats.org/drawingml/2006/picture">
                <pic:pic xmlns:pic="http://schemas.openxmlformats.org/drawingml/2006/picture">
                  <pic:nvPicPr>
                    <pic:cNvPr id="143364" name="Picture 6" descr="药明康德"/>
                    <pic:cNvPicPr>
                      <a:picLocks noChangeArrowheads="1"/>
                    </pic:cNvPicPr>
                  </pic:nvPicPr>
                  <pic:blipFill>
                    <a:blip r:embed="rId19"/>
                    <a:srcRect/>
                    <a:stretch>
                      <a:fillRect/>
                    </a:stretch>
                  </pic:blipFill>
                  <pic:spPr bwMode="auto">
                    <a:xfrm>
                      <a:off x="0" y="0"/>
                      <a:ext cx="2495404" cy="1009591"/>
                    </a:xfrm>
                    <a:prstGeom prst="rect">
                      <a:avLst/>
                    </a:prstGeom>
                    <a:noFill/>
                    <a:ln w="9525">
                      <a:noFill/>
                      <a:miter lim="800000"/>
                      <a:headEnd/>
                      <a:tailEnd/>
                    </a:ln>
                  </pic:spPr>
                </pic:pic>
              </a:graphicData>
            </a:graphic>
          </wp:inline>
        </w:drawing>
      </w:r>
    </w:p>
    <w:p w:rsidR="00F337BB" w:rsidRDefault="00F337BB" w:rsidP="00A57FDB">
      <w:pPr>
        <w:autoSpaceDE w:val="0"/>
        <w:autoSpaceDN w:val="0"/>
        <w:adjustRightInd w:val="0"/>
        <w:spacing w:line="360" w:lineRule="auto"/>
        <w:jc w:val="left"/>
        <w:rPr>
          <w:rFonts w:ascii="Cambria" w:hAnsi="Cambria"/>
          <w:b/>
          <w:bCs/>
          <w:noProof/>
          <w:sz w:val="28"/>
          <w:szCs w:val="28"/>
        </w:rPr>
      </w:pPr>
    </w:p>
    <w:p w:rsidR="00F337BB" w:rsidRDefault="00F337BB" w:rsidP="00A57FDB">
      <w:pPr>
        <w:autoSpaceDE w:val="0"/>
        <w:autoSpaceDN w:val="0"/>
        <w:adjustRightInd w:val="0"/>
        <w:spacing w:line="360" w:lineRule="auto"/>
        <w:jc w:val="left"/>
        <w:rPr>
          <w:rFonts w:ascii="Cambria" w:hAnsi="Cambria"/>
          <w:b/>
          <w:bCs/>
          <w:noProof/>
          <w:sz w:val="28"/>
          <w:szCs w:val="28"/>
        </w:rPr>
      </w:pPr>
    </w:p>
    <w:p w:rsidR="001925DE" w:rsidRDefault="00A57FDB" w:rsidP="00A57FDB">
      <w:pPr>
        <w:autoSpaceDE w:val="0"/>
        <w:autoSpaceDN w:val="0"/>
        <w:adjustRightInd w:val="0"/>
        <w:spacing w:line="360" w:lineRule="auto"/>
        <w:jc w:val="left"/>
        <w:rPr>
          <w:rFonts w:ascii="Cambria" w:hAnsi="Cambria"/>
          <w:b/>
          <w:bCs/>
          <w:noProof/>
          <w:szCs w:val="24"/>
        </w:rPr>
      </w:pPr>
      <w:r w:rsidRPr="001925DE">
        <w:rPr>
          <w:rFonts w:ascii="Cambria" w:hAnsi="Cambria" w:hint="eastAsia"/>
          <w:b/>
          <w:bCs/>
          <w:noProof/>
          <w:szCs w:val="24"/>
        </w:rPr>
        <w:t>实验室服务</w:t>
      </w:r>
    </w:p>
    <w:p w:rsidR="00A57FDB" w:rsidRPr="001925DE" w:rsidRDefault="001925DE" w:rsidP="00A57FDB">
      <w:pPr>
        <w:autoSpaceDE w:val="0"/>
        <w:autoSpaceDN w:val="0"/>
        <w:adjustRightInd w:val="0"/>
        <w:spacing w:line="360" w:lineRule="auto"/>
        <w:jc w:val="left"/>
        <w:rPr>
          <w:rFonts w:ascii="Cambria" w:hAnsi="Cambria"/>
          <w:bCs/>
          <w:noProof/>
          <w:szCs w:val="24"/>
        </w:rPr>
      </w:pPr>
      <w:r>
        <w:rPr>
          <w:rFonts w:ascii="Cambria" w:hAnsi="Cambria" w:hint="eastAsia"/>
          <w:bCs/>
          <w:noProof/>
          <w:szCs w:val="24"/>
        </w:rPr>
        <w:t xml:space="preserve">    </w:t>
      </w:r>
      <w:r w:rsidR="00A57FDB" w:rsidRPr="001925DE">
        <w:rPr>
          <w:rFonts w:ascii="Cambria" w:hAnsi="Cambria" w:hint="eastAsia"/>
          <w:bCs/>
          <w:noProof/>
          <w:szCs w:val="24"/>
        </w:rPr>
        <w:t>包括从药物发现到开发的全方位制药服务，生物制品和医疗器械开发和测试服务，以及全面的毒理服务。</w:t>
      </w:r>
      <w:r w:rsidR="00A57FDB" w:rsidRPr="001925DE">
        <w:rPr>
          <w:rFonts w:ascii="Cambria" w:hAnsi="Cambria" w:hint="eastAsia"/>
          <w:bCs/>
          <w:noProof/>
          <w:szCs w:val="24"/>
        </w:rPr>
        <w:t xml:space="preserve"> </w:t>
      </w:r>
    </w:p>
    <w:p w:rsidR="001925DE" w:rsidRDefault="00A57FDB" w:rsidP="00A57FDB">
      <w:pPr>
        <w:autoSpaceDE w:val="0"/>
        <w:autoSpaceDN w:val="0"/>
        <w:adjustRightInd w:val="0"/>
        <w:spacing w:line="360" w:lineRule="auto"/>
        <w:jc w:val="left"/>
        <w:rPr>
          <w:rFonts w:ascii="Cambria" w:hAnsi="Cambria"/>
          <w:b/>
          <w:bCs/>
          <w:noProof/>
          <w:szCs w:val="24"/>
        </w:rPr>
      </w:pPr>
      <w:r w:rsidRPr="001925DE">
        <w:rPr>
          <w:rFonts w:ascii="Cambria" w:hAnsi="Cambria" w:hint="eastAsia"/>
          <w:b/>
          <w:bCs/>
          <w:noProof/>
          <w:szCs w:val="24"/>
        </w:rPr>
        <w:t>生产服务</w:t>
      </w:r>
    </w:p>
    <w:p w:rsidR="00A57FDB" w:rsidRPr="001925DE" w:rsidRDefault="001925DE" w:rsidP="00A57FDB">
      <w:pPr>
        <w:autoSpaceDE w:val="0"/>
        <w:autoSpaceDN w:val="0"/>
        <w:adjustRightInd w:val="0"/>
        <w:spacing w:line="360" w:lineRule="auto"/>
        <w:jc w:val="left"/>
        <w:rPr>
          <w:rFonts w:ascii="Cambria" w:hAnsi="Cambria"/>
          <w:b/>
          <w:bCs/>
          <w:noProof/>
          <w:szCs w:val="24"/>
        </w:rPr>
      </w:pPr>
      <w:r>
        <w:rPr>
          <w:rFonts w:ascii="Cambria" w:hAnsi="Cambria" w:hint="eastAsia"/>
          <w:b/>
          <w:bCs/>
          <w:noProof/>
          <w:szCs w:val="24"/>
        </w:rPr>
        <w:t xml:space="preserve">    </w:t>
      </w:r>
      <w:r w:rsidR="00A57FDB" w:rsidRPr="001925DE">
        <w:rPr>
          <w:rFonts w:ascii="Cambria" w:hAnsi="Cambria" w:hint="eastAsia"/>
          <w:bCs/>
          <w:noProof/>
          <w:szCs w:val="24"/>
        </w:rPr>
        <w:t>药物中间体、高效能原料药</w:t>
      </w:r>
      <w:r w:rsidR="00A57FDB" w:rsidRPr="001925DE">
        <w:rPr>
          <w:rFonts w:ascii="Cambria" w:hAnsi="Cambria" w:hint="eastAsia"/>
          <w:bCs/>
          <w:noProof/>
          <w:szCs w:val="24"/>
        </w:rPr>
        <w:t>(APIs)</w:t>
      </w:r>
      <w:r w:rsidR="00A57FDB" w:rsidRPr="001925DE">
        <w:rPr>
          <w:rFonts w:ascii="Cambria" w:hAnsi="Cambria" w:hint="eastAsia"/>
          <w:bCs/>
          <w:noProof/>
          <w:szCs w:val="24"/>
        </w:rPr>
        <w:t>的生产服务，细胞银行服务，细胞疗法和基于化合物和组织的产品的</w:t>
      </w:r>
      <w:r w:rsidR="00A57FDB" w:rsidRPr="001925DE">
        <w:rPr>
          <w:rFonts w:ascii="Cambria" w:hAnsi="Cambria" w:hint="eastAsia"/>
          <w:bCs/>
          <w:noProof/>
          <w:szCs w:val="24"/>
        </w:rPr>
        <w:t>cGMP</w:t>
      </w:r>
      <w:r w:rsidR="00A57FDB" w:rsidRPr="001925DE">
        <w:rPr>
          <w:rFonts w:ascii="Cambria" w:hAnsi="Cambria" w:hint="eastAsia"/>
          <w:bCs/>
          <w:noProof/>
          <w:szCs w:val="24"/>
        </w:rPr>
        <w:t>生产。</w:t>
      </w:r>
      <w:r w:rsidR="00A57FDB" w:rsidRPr="001925DE">
        <w:rPr>
          <w:rFonts w:ascii="Cambria" w:hAnsi="Cambria" w:hint="eastAsia"/>
          <w:b/>
          <w:bCs/>
          <w:noProof/>
          <w:szCs w:val="24"/>
        </w:rPr>
        <w:t xml:space="preserve"> </w:t>
      </w:r>
    </w:p>
    <w:p w:rsidR="00545D45" w:rsidRDefault="00545D45" w:rsidP="00A57FDB">
      <w:pPr>
        <w:autoSpaceDE w:val="0"/>
        <w:autoSpaceDN w:val="0"/>
        <w:adjustRightInd w:val="0"/>
        <w:spacing w:line="360" w:lineRule="auto"/>
        <w:jc w:val="left"/>
        <w:rPr>
          <w:rFonts w:ascii="Cambria" w:hAnsi="Cambria"/>
          <w:b/>
          <w:bCs/>
          <w:noProof/>
          <w:sz w:val="28"/>
          <w:szCs w:val="28"/>
        </w:rPr>
      </w:pPr>
    </w:p>
    <w:p w:rsidR="00545D45" w:rsidRDefault="00545D45" w:rsidP="00A57FDB">
      <w:pPr>
        <w:autoSpaceDE w:val="0"/>
        <w:autoSpaceDN w:val="0"/>
        <w:adjustRightInd w:val="0"/>
        <w:spacing w:line="360" w:lineRule="auto"/>
        <w:jc w:val="left"/>
        <w:rPr>
          <w:rFonts w:ascii="Cambria" w:hAnsi="Cambria"/>
          <w:b/>
          <w:bCs/>
          <w:noProof/>
          <w:sz w:val="28"/>
          <w:szCs w:val="28"/>
        </w:rPr>
      </w:pPr>
    </w:p>
    <w:p w:rsidR="00545D45" w:rsidRDefault="00545D45" w:rsidP="00A57FDB">
      <w:pPr>
        <w:autoSpaceDE w:val="0"/>
        <w:autoSpaceDN w:val="0"/>
        <w:adjustRightInd w:val="0"/>
        <w:spacing w:line="360" w:lineRule="auto"/>
        <w:jc w:val="left"/>
        <w:rPr>
          <w:rFonts w:ascii="Cambria" w:hAnsi="Cambria"/>
          <w:b/>
          <w:bCs/>
          <w:noProof/>
          <w:sz w:val="28"/>
          <w:szCs w:val="28"/>
        </w:rPr>
      </w:pPr>
    </w:p>
    <w:p w:rsidR="00545D45" w:rsidRDefault="00545D45" w:rsidP="00A57FDB">
      <w:pPr>
        <w:autoSpaceDE w:val="0"/>
        <w:autoSpaceDN w:val="0"/>
        <w:adjustRightInd w:val="0"/>
        <w:spacing w:line="360" w:lineRule="auto"/>
        <w:jc w:val="left"/>
        <w:rPr>
          <w:rFonts w:ascii="Cambria" w:hAnsi="Cambria"/>
          <w:b/>
          <w:bCs/>
          <w:noProof/>
          <w:sz w:val="28"/>
          <w:szCs w:val="28"/>
        </w:rPr>
      </w:pPr>
    </w:p>
    <w:p w:rsidR="001925DE" w:rsidRPr="00A57FDB" w:rsidRDefault="001925DE" w:rsidP="00A57FDB">
      <w:pPr>
        <w:autoSpaceDE w:val="0"/>
        <w:autoSpaceDN w:val="0"/>
        <w:adjustRightInd w:val="0"/>
        <w:spacing w:line="360" w:lineRule="auto"/>
        <w:jc w:val="left"/>
        <w:rPr>
          <w:rFonts w:ascii="Cambria" w:hAnsi="Cambria"/>
          <w:b/>
          <w:bCs/>
          <w:noProof/>
          <w:sz w:val="28"/>
          <w:szCs w:val="28"/>
        </w:rPr>
      </w:pPr>
    </w:p>
    <w:p w:rsidR="00405AC7" w:rsidRPr="004109EC" w:rsidRDefault="00405AC7" w:rsidP="008E4411">
      <w:pPr>
        <w:rPr>
          <w:rFonts w:ascii="黑体" w:eastAsia="黑体"/>
          <w:b/>
          <w:bCs/>
          <w:color w:val="333399"/>
          <w:sz w:val="30"/>
          <w:szCs w:val="30"/>
          <w:shd w:val="pct15" w:color="auto" w:fill="FFFFFF"/>
        </w:rPr>
      </w:pPr>
      <w:r w:rsidRPr="004109EC">
        <w:rPr>
          <w:rFonts w:ascii="黑体" w:eastAsia="黑体" w:hint="eastAsia"/>
          <w:b/>
          <w:bCs/>
          <w:color w:val="333399"/>
          <w:sz w:val="30"/>
          <w:szCs w:val="30"/>
          <w:shd w:val="pct15" w:color="auto" w:fill="FFFFFF"/>
        </w:rPr>
        <w:lastRenderedPageBreak/>
        <w:t>协会动态</w:t>
      </w:r>
    </w:p>
    <w:p w:rsidR="00405AC7" w:rsidRPr="000A106E" w:rsidRDefault="00FE2E13" w:rsidP="00DF798F">
      <w:pPr>
        <w:pStyle w:val="4"/>
      </w:pPr>
      <w:r>
        <w:rPr>
          <w:noProof/>
        </w:rPr>
        <w:pict>
          <v:shape id="_x0000_s1043" type="#_x0000_t202" style="position:absolute;left:0;text-align:left;margin-left:450pt;margin-top:43.4pt;width:270.75pt;height:188.25pt;z-index:251675648" filled="f" stroked="f">
            <v:textbox style="mso-next-textbox:#_x0000_s1043">
              <w:txbxContent>
                <w:p w:rsidR="000A106E" w:rsidRDefault="000A106E">
                  <w:r w:rsidRPr="000A106E">
                    <w:rPr>
                      <w:noProof/>
                    </w:rPr>
                    <w:drawing>
                      <wp:inline distT="0" distB="0" distL="0" distR="0">
                        <wp:extent cx="3048000" cy="2295181"/>
                        <wp:effectExtent l="19050" t="0" r="0" b="0"/>
                        <wp:docPr id="28" name="图片 10" descr="C:\Users\User\AppData\Roaming\Tencent\Users\523707068\QQ\WinTemp\RichOle\LU5GGP1]S``G`S~4AM7FU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Roaming\Tencent\Users\523707068\QQ\WinTemp\RichOle\LU5GGP1]S``G`S~4AM7FUZ6.jpg"/>
                                <pic:cNvPicPr>
                                  <a:picLocks noChangeAspect="1" noChangeArrowheads="1"/>
                                </pic:cNvPicPr>
                              </pic:nvPicPr>
                              <pic:blipFill>
                                <a:blip r:embed="rId20"/>
                                <a:srcRect/>
                                <a:stretch>
                                  <a:fillRect/>
                                </a:stretch>
                              </pic:blipFill>
                              <pic:spPr bwMode="auto">
                                <a:xfrm>
                                  <a:off x="0" y="0"/>
                                  <a:ext cx="3048000" cy="2295181"/>
                                </a:xfrm>
                                <a:prstGeom prst="rect">
                                  <a:avLst/>
                                </a:prstGeom>
                                <a:noFill/>
                                <a:ln w="9525">
                                  <a:noFill/>
                                  <a:miter lim="800000"/>
                                  <a:headEnd/>
                                  <a:tailEnd/>
                                </a:ln>
                              </pic:spPr>
                            </pic:pic>
                          </a:graphicData>
                        </a:graphic>
                      </wp:inline>
                    </w:drawing>
                  </w:r>
                </w:p>
              </w:txbxContent>
            </v:textbox>
          </v:shape>
        </w:pict>
      </w:r>
      <w:r>
        <w:rPr>
          <w:noProof/>
        </w:rPr>
        <w:pict>
          <v:shape id="_x0000_s1042" type="#_x0000_t202" style="position:absolute;left:0;text-align:left;margin-left:450pt;margin-top:56.15pt;width:303.75pt;height:203.25pt;z-index:251674624" filled="f" stroked="f">
            <v:textbox style="mso-next-textbox:#_x0000_s1042">
              <w:txbxContent>
                <w:p w:rsidR="000A106E" w:rsidRPr="000A106E" w:rsidRDefault="000A106E" w:rsidP="000A106E">
                  <w:pPr>
                    <w:widowControl/>
                    <w:jc w:val="left"/>
                    <w:rPr>
                      <w:rFonts w:ascii="宋体" w:hAnsi="宋体" w:cs="宋体"/>
                      <w:kern w:val="0"/>
                      <w:szCs w:val="24"/>
                    </w:rPr>
                  </w:pPr>
                </w:p>
                <w:p w:rsidR="000A106E" w:rsidRDefault="000A106E"/>
              </w:txbxContent>
            </v:textbox>
          </v:shape>
        </w:pict>
      </w:r>
      <w:r>
        <w:rPr>
          <w:noProof/>
        </w:rPr>
        <w:pict>
          <v:rect id="_x0000_s1041" style="position:absolute;left:0;text-align:left;margin-left:450pt;margin-top:14.15pt;width:292.5pt;height:177.75pt;z-index:251673600" filled="f" stroked="f"/>
        </w:pict>
      </w:r>
      <w:bookmarkStart w:id="13" w:name="_Toc402948437"/>
      <w:r w:rsidR="00545D45" w:rsidRPr="00545D45">
        <w:rPr>
          <w:rFonts w:hint="eastAsia"/>
        </w:rPr>
        <w:t>协会秘书处</w:t>
      </w:r>
      <w:r w:rsidR="00545D45" w:rsidRPr="00545D45">
        <w:rPr>
          <w:rFonts w:hint="eastAsia"/>
        </w:rPr>
        <w:t>10</w:t>
      </w:r>
      <w:r w:rsidR="00545D45" w:rsidRPr="00545D45">
        <w:rPr>
          <w:rFonts w:hint="eastAsia"/>
        </w:rPr>
        <w:t>月走访</w:t>
      </w:r>
      <w:r w:rsidR="00545D45" w:rsidRPr="00545D45">
        <w:rPr>
          <w:rFonts w:hint="eastAsia"/>
        </w:rPr>
        <w:t>13</w:t>
      </w:r>
      <w:r w:rsidR="00545D45" w:rsidRPr="00545D45">
        <w:rPr>
          <w:rFonts w:hint="eastAsia"/>
        </w:rPr>
        <w:t>家企业</w:t>
      </w:r>
      <w:bookmarkEnd w:id="13"/>
    </w:p>
    <w:p w:rsidR="004144C8" w:rsidRDefault="00FE2E13" w:rsidP="004144C8">
      <w:r>
        <w:rPr>
          <w:noProof/>
        </w:rPr>
        <w:pict>
          <v:shape id="_x0000_s1040" type="#_x0000_t202" style="position:absolute;left:0;text-align:left;margin-left:.75pt;margin-top:.2pt;width:449.25pt;height:357pt;z-index:251672576" filled="f" stroked="f">
            <v:textbox style="mso-next-textbox:#_x0000_s1040">
              <w:txbxContent>
                <w:p w:rsidR="004144C8" w:rsidRPr="004144C8" w:rsidRDefault="004144C8" w:rsidP="004144C8">
                  <w:pPr>
                    <w:widowControl/>
                    <w:shd w:val="clear" w:color="auto" w:fill="FFFFFF"/>
                    <w:spacing w:line="360" w:lineRule="auto"/>
                    <w:ind w:firstLine="420"/>
                    <w:jc w:val="left"/>
                    <w:rPr>
                      <w:rFonts w:asciiTheme="majorEastAsia" w:eastAsiaTheme="majorEastAsia" w:hAnsiTheme="majorEastAsia"/>
                      <w:noProof/>
                      <w:szCs w:val="24"/>
                    </w:rPr>
                  </w:pPr>
                  <w:r w:rsidRPr="004144C8">
                    <w:rPr>
                      <w:rFonts w:asciiTheme="majorEastAsia" w:eastAsiaTheme="majorEastAsia" w:hAnsiTheme="majorEastAsia" w:hint="eastAsia"/>
                      <w:noProof/>
                      <w:szCs w:val="24"/>
                    </w:rPr>
                    <w:t>为更好的服务于服务外包企业，增加协会与会员企业的沟通和互动，2014年10月，在会长单位珠海爱浦京软件技术有限公司相关人员的带领下，协会秘书处先后走访了十三家企业，其中包括会员企业珠海市发思特软件技术有限公司、珠海永泰卫信软件科技有限公司、珠海市宇能科技有限公司、泰盛（珠海）软件开发有限公司、纬泓软件（珠海）有限公司、珠海市金邦达保密卡有限公司、珠海杨氏网络动画设计有限公司、珠海伟诚科技有限公司、珠海市乐毅软件科技有限公司、珠海飞企软件有限公司、珠海远东科技有限公司、珠海港信息技术有限公司，珠海国际商业数据公司。</w:t>
                  </w:r>
                </w:p>
                <w:p w:rsidR="004144C8" w:rsidRPr="00A57FDB" w:rsidRDefault="004144C8" w:rsidP="004144C8">
                  <w:pPr>
                    <w:spacing w:line="360" w:lineRule="auto"/>
                  </w:pPr>
                  <w:r w:rsidRPr="004144C8">
                    <w:rPr>
                      <w:rFonts w:asciiTheme="majorEastAsia" w:eastAsiaTheme="majorEastAsia" w:hAnsiTheme="majorEastAsia" w:hint="eastAsia"/>
                      <w:noProof/>
                      <w:szCs w:val="24"/>
                    </w:rPr>
                    <w:t xml:space="preserve">    此次走访活动，主要针对四大主题对企业进行调研，一、企业对服务外包人才培训平台的需求；二、企业对服务外包接发包平台的需求；三、企业对于服务外包相关政策的意见及建议；四、企业对于协会工作的意见及建议。通过此次走访活动，协会对各企业的的发展有了进一步了解，企业在发展经营过程中遇到人才招聘及业务链的不完整等困难，希望协会能够尽快将两个平台建立起来，更好的服务企业。</w:t>
                  </w:r>
                </w:p>
              </w:txbxContent>
            </v:textbox>
          </v:shape>
        </w:pict>
      </w:r>
    </w:p>
    <w:p w:rsidR="004144C8" w:rsidRDefault="004144C8" w:rsidP="004144C8"/>
    <w:p w:rsidR="004144C8" w:rsidRDefault="004144C8" w:rsidP="004144C8"/>
    <w:p w:rsidR="004144C8" w:rsidRDefault="004144C8" w:rsidP="004144C8"/>
    <w:p w:rsidR="004144C8" w:rsidRDefault="004144C8" w:rsidP="004144C8"/>
    <w:p w:rsidR="004144C8" w:rsidRDefault="004144C8" w:rsidP="004144C8"/>
    <w:p w:rsidR="004144C8" w:rsidRDefault="004144C8" w:rsidP="004144C8"/>
    <w:p w:rsidR="004144C8" w:rsidRDefault="004144C8" w:rsidP="004144C8"/>
    <w:p w:rsidR="004144C8" w:rsidRDefault="004144C8" w:rsidP="004144C8"/>
    <w:p w:rsidR="004144C8" w:rsidRDefault="004144C8" w:rsidP="004144C8"/>
    <w:p w:rsidR="004144C8" w:rsidRDefault="004144C8" w:rsidP="004144C8"/>
    <w:p w:rsidR="004144C8" w:rsidRDefault="00FE2E13" w:rsidP="004144C8">
      <w:r>
        <w:rPr>
          <w:noProof/>
        </w:rPr>
        <w:pict>
          <v:shape id="_x0000_s1044" type="#_x0000_t202" style="position:absolute;left:0;text-align:left;margin-left:450pt;margin-top:.35pt;width:273.75pt;height:171.75pt;z-index:251676672" filled="f" stroked="f">
            <v:textbox style="mso-next-textbox:#_x0000_s1044">
              <w:txbxContent>
                <w:p w:rsidR="000A106E" w:rsidRPr="000A106E" w:rsidRDefault="000A106E" w:rsidP="000A106E">
                  <w:pPr>
                    <w:widowControl/>
                    <w:jc w:val="left"/>
                    <w:rPr>
                      <w:rFonts w:ascii="宋体" w:hAnsi="宋体" w:cs="宋体"/>
                      <w:kern w:val="0"/>
                      <w:szCs w:val="24"/>
                    </w:rPr>
                  </w:pPr>
                  <w:r>
                    <w:rPr>
                      <w:rFonts w:ascii="宋体" w:hAnsi="宋体" w:cs="宋体"/>
                      <w:noProof/>
                      <w:kern w:val="0"/>
                      <w:szCs w:val="24"/>
                    </w:rPr>
                    <w:drawing>
                      <wp:inline distT="0" distB="0" distL="0" distR="0">
                        <wp:extent cx="3048000" cy="2283726"/>
                        <wp:effectExtent l="19050" t="0" r="0" b="0"/>
                        <wp:docPr id="29" name="图片 12" descr="C:\Users\User\AppData\Roaming\Tencent\Users\523707068\QQ\WinTemp\RichOle\Z5LH1ILRZOOC{JCNRC`Y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Roaming\Tencent\Users\523707068\QQ\WinTemp\RichOle\Z5LH1ILRZOOC{JCNRC`YS62.jpg"/>
                                <pic:cNvPicPr>
                                  <a:picLocks noChangeAspect="1" noChangeArrowheads="1"/>
                                </pic:cNvPicPr>
                              </pic:nvPicPr>
                              <pic:blipFill>
                                <a:blip r:embed="rId21"/>
                                <a:srcRect/>
                                <a:stretch>
                                  <a:fillRect/>
                                </a:stretch>
                              </pic:blipFill>
                              <pic:spPr bwMode="auto">
                                <a:xfrm>
                                  <a:off x="0" y="0"/>
                                  <a:ext cx="3048277" cy="2283933"/>
                                </a:xfrm>
                                <a:prstGeom prst="rect">
                                  <a:avLst/>
                                </a:prstGeom>
                                <a:noFill/>
                                <a:ln w="9525">
                                  <a:noFill/>
                                  <a:miter lim="800000"/>
                                  <a:headEnd/>
                                  <a:tailEnd/>
                                </a:ln>
                              </pic:spPr>
                            </pic:pic>
                          </a:graphicData>
                        </a:graphic>
                      </wp:inline>
                    </w:drawing>
                  </w:r>
                </w:p>
                <w:p w:rsidR="000A106E" w:rsidRDefault="000A106E"/>
              </w:txbxContent>
            </v:textbox>
          </v:shape>
        </w:pict>
      </w:r>
    </w:p>
    <w:p w:rsidR="004144C8" w:rsidRDefault="004144C8" w:rsidP="004144C8"/>
    <w:p w:rsidR="004144C8" w:rsidRDefault="004144C8" w:rsidP="004144C8"/>
    <w:p w:rsidR="004144C8" w:rsidRDefault="004144C8" w:rsidP="004144C8"/>
    <w:p w:rsidR="004144C8" w:rsidRPr="004144C8" w:rsidRDefault="004144C8" w:rsidP="004144C8"/>
    <w:p w:rsidR="00545D45" w:rsidRPr="00EC53FD" w:rsidRDefault="00545D45" w:rsidP="004144C8">
      <w:pPr>
        <w:spacing w:line="360" w:lineRule="auto"/>
        <w:jc w:val="left"/>
        <w:rPr>
          <w:rFonts w:ascii="宋体"/>
          <w:bCs/>
          <w:color w:val="000000"/>
          <w:sz w:val="28"/>
          <w:szCs w:val="28"/>
          <w:shd w:val="clear" w:color="auto" w:fill="FFFFFF"/>
        </w:rPr>
      </w:pPr>
    </w:p>
    <w:p w:rsidR="00405AC7" w:rsidRPr="00EC53FD" w:rsidRDefault="00405AC7" w:rsidP="004144C8">
      <w:pPr>
        <w:spacing w:line="360" w:lineRule="auto"/>
        <w:ind w:firstLineChars="200" w:firstLine="560"/>
        <w:rPr>
          <w:rFonts w:ascii="宋体"/>
          <w:bCs/>
          <w:color w:val="000000"/>
          <w:sz w:val="28"/>
          <w:szCs w:val="28"/>
          <w:shd w:val="clear" w:color="auto" w:fill="FFFFFF"/>
        </w:rPr>
      </w:pPr>
    </w:p>
    <w:p w:rsidR="00405AC7" w:rsidRPr="00FF6A66" w:rsidRDefault="00FE2E13" w:rsidP="00FF6A66">
      <w:pPr>
        <w:pStyle w:val="4"/>
      </w:pPr>
      <w:r>
        <w:rPr>
          <w:noProof/>
        </w:rPr>
        <w:lastRenderedPageBreak/>
        <w:pict>
          <v:shape id="_x0000_s1045" type="#_x0000_t202" style="position:absolute;left:0;text-align:left;margin-left:363pt;margin-top:38.6pt;width:327pt;height:149.25pt;z-index:251677696" filled="f" stroked="f">
            <v:textbox style="mso-next-textbox:#_x0000_s1045">
              <w:txbxContent>
                <w:p w:rsidR="000A106E" w:rsidRPr="001925DE" w:rsidRDefault="000A106E" w:rsidP="000A106E">
                  <w:pPr>
                    <w:spacing w:line="360" w:lineRule="auto"/>
                    <w:rPr>
                      <w:szCs w:val="24"/>
                    </w:rPr>
                  </w:pPr>
                  <w:r>
                    <w:rPr>
                      <w:rFonts w:cs="宋体" w:hint="eastAsia"/>
                      <w:color w:val="000000"/>
                      <w:kern w:val="0"/>
                      <w:szCs w:val="24"/>
                    </w:rPr>
                    <w:t xml:space="preserve">  </w:t>
                  </w:r>
                  <w:r w:rsidRPr="001925DE">
                    <w:rPr>
                      <w:rFonts w:cs="宋体" w:hint="eastAsia"/>
                      <w:color w:val="000000"/>
                      <w:kern w:val="0"/>
                      <w:szCs w:val="24"/>
                    </w:rPr>
                    <w:t xml:space="preserve">  </w:t>
                  </w:r>
                  <w:r w:rsidRPr="001925DE">
                    <w:rPr>
                      <w:rFonts w:cs="宋体" w:hint="eastAsia"/>
                      <w:color w:val="000000"/>
                      <w:kern w:val="0"/>
                      <w:szCs w:val="24"/>
                    </w:rPr>
                    <w:t>为了更好的服务会员企业，加深企业对服务外包知识和相关政策的认知和理解，也为企业后续顺利的开展项目申报工作，珠海市服务外包行业协会于</w:t>
                  </w:r>
                  <w:r w:rsidRPr="001925DE">
                    <w:rPr>
                      <w:rFonts w:cs="Calibri"/>
                      <w:color w:val="000000"/>
                      <w:kern w:val="0"/>
                      <w:szCs w:val="24"/>
                    </w:rPr>
                    <w:t>2014</w:t>
                  </w:r>
                  <w:r w:rsidRPr="001925DE">
                    <w:rPr>
                      <w:rFonts w:cs="宋体" w:hint="eastAsia"/>
                      <w:color w:val="000000"/>
                      <w:kern w:val="0"/>
                      <w:szCs w:val="24"/>
                    </w:rPr>
                    <w:t>年</w:t>
                  </w:r>
                  <w:r w:rsidRPr="001925DE">
                    <w:rPr>
                      <w:rFonts w:cs="Calibri"/>
                      <w:color w:val="000000"/>
                      <w:kern w:val="0"/>
                      <w:szCs w:val="24"/>
                    </w:rPr>
                    <w:t>10</w:t>
                  </w:r>
                  <w:r w:rsidRPr="001925DE">
                    <w:rPr>
                      <w:rFonts w:cs="宋体" w:hint="eastAsia"/>
                      <w:color w:val="000000"/>
                      <w:kern w:val="0"/>
                      <w:szCs w:val="24"/>
                    </w:rPr>
                    <w:t>月</w:t>
                  </w:r>
                  <w:r w:rsidRPr="001925DE">
                    <w:rPr>
                      <w:rFonts w:cs="Calibri"/>
                      <w:color w:val="000000"/>
                      <w:kern w:val="0"/>
                      <w:szCs w:val="24"/>
                    </w:rPr>
                    <w:t>28</w:t>
                  </w:r>
                  <w:r w:rsidRPr="001925DE">
                    <w:rPr>
                      <w:rFonts w:cs="宋体" w:hint="eastAsia"/>
                      <w:color w:val="000000"/>
                      <w:kern w:val="0"/>
                      <w:szCs w:val="24"/>
                    </w:rPr>
                    <w:t>号在南方软件园组织开展了第一期“</w:t>
                  </w:r>
                  <w:r w:rsidRPr="001925DE">
                    <w:rPr>
                      <w:rFonts w:cs="宋体" w:hint="eastAsia"/>
                      <w:b/>
                      <w:bCs/>
                      <w:color w:val="000000"/>
                      <w:kern w:val="0"/>
                      <w:szCs w:val="24"/>
                    </w:rPr>
                    <w:t>如何做好省级服务外包产业专项资金项目申报工作”</w:t>
                  </w:r>
                  <w:r w:rsidRPr="001925DE">
                    <w:rPr>
                      <w:rFonts w:cs="宋体" w:hint="eastAsia"/>
                      <w:bCs/>
                      <w:color w:val="000000"/>
                      <w:kern w:val="0"/>
                      <w:szCs w:val="24"/>
                    </w:rPr>
                    <w:t>的专题培训活动，共有</w:t>
                  </w:r>
                  <w:r w:rsidRPr="001925DE">
                    <w:rPr>
                      <w:rFonts w:cs="Calibri"/>
                      <w:bCs/>
                      <w:color w:val="000000"/>
                      <w:kern w:val="0"/>
                      <w:szCs w:val="24"/>
                    </w:rPr>
                    <w:t>24</w:t>
                  </w:r>
                  <w:r w:rsidRPr="001925DE">
                    <w:rPr>
                      <w:rFonts w:cs="宋体" w:hint="eastAsia"/>
                      <w:bCs/>
                      <w:color w:val="000000"/>
                      <w:kern w:val="0"/>
                      <w:szCs w:val="24"/>
                    </w:rPr>
                    <w:t>家</w:t>
                  </w:r>
                  <w:r w:rsidR="005A04DD">
                    <w:rPr>
                      <w:rFonts w:cs="宋体" w:hint="eastAsia"/>
                      <w:bCs/>
                      <w:color w:val="000000"/>
                      <w:kern w:val="0"/>
                      <w:szCs w:val="24"/>
                    </w:rPr>
                    <w:t>企业</w:t>
                  </w:r>
                  <w:r w:rsidRPr="001925DE">
                    <w:rPr>
                      <w:rFonts w:cs="Calibri"/>
                      <w:bCs/>
                      <w:color w:val="000000"/>
                      <w:kern w:val="0"/>
                      <w:szCs w:val="24"/>
                    </w:rPr>
                    <w:t>30</w:t>
                  </w:r>
                  <w:r w:rsidRPr="001925DE">
                    <w:rPr>
                      <w:rFonts w:cs="宋体" w:hint="eastAsia"/>
                      <w:bCs/>
                      <w:color w:val="000000"/>
                      <w:kern w:val="0"/>
                      <w:szCs w:val="24"/>
                    </w:rPr>
                    <w:t>名企业代表参加了本次培训活动。</w:t>
                  </w:r>
                </w:p>
              </w:txbxContent>
            </v:textbox>
          </v:shape>
        </w:pict>
      </w:r>
      <w:bookmarkStart w:id="14" w:name="_Toc402948438"/>
      <w:r w:rsidR="000A106E" w:rsidRPr="000A106E">
        <w:rPr>
          <w:rFonts w:hint="eastAsia"/>
        </w:rPr>
        <w:t>协会组织企业进行第一期省产业专项资金申报培训活动</w:t>
      </w:r>
      <w:bookmarkEnd w:id="14"/>
    </w:p>
    <w:p w:rsidR="000A106E" w:rsidRPr="00F57397" w:rsidRDefault="000A106E" w:rsidP="000A106E">
      <w:pPr>
        <w:widowControl/>
        <w:spacing w:line="360" w:lineRule="auto"/>
        <w:jc w:val="left"/>
        <w:rPr>
          <w:rFonts w:ascii="宋体" w:hAnsi="宋体" w:cs="宋体"/>
          <w:bCs/>
          <w:color w:val="000000"/>
          <w:kern w:val="0"/>
          <w:szCs w:val="24"/>
        </w:rPr>
      </w:pPr>
      <w:r>
        <w:rPr>
          <w:rFonts w:cs="宋体" w:hint="eastAsia"/>
          <w:color w:val="000000"/>
          <w:kern w:val="0"/>
          <w:szCs w:val="24"/>
        </w:rPr>
        <w:t xml:space="preserve">   </w:t>
      </w:r>
      <w:r w:rsidRPr="000A106E">
        <w:rPr>
          <w:rFonts w:cs="宋体"/>
          <w:noProof/>
          <w:color w:val="000000"/>
          <w:kern w:val="0"/>
          <w:szCs w:val="24"/>
        </w:rPr>
        <w:drawing>
          <wp:inline distT="0" distB="0" distL="0" distR="0">
            <wp:extent cx="4295375" cy="1748333"/>
            <wp:effectExtent l="19050" t="0" r="0" b="0"/>
            <wp:docPr id="31" name="图片 3" descr="http://www.zaos.org.cn/news/pics/20141029/20141029141456862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os.org.cn/news/pics/20141029/201410291414568625849.jpg"/>
                    <pic:cNvPicPr>
                      <a:picLocks noChangeAspect="1" noChangeArrowheads="1"/>
                    </pic:cNvPicPr>
                  </pic:nvPicPr>
                  <pic:blipFill>
                    <a:blip r:embed="rId22"/>
                    <a:srcRect/>
                    <a:stretch>
                      <a:fillRect/>
                    </a:stretch>
                  </pic:blipFill>
                  <pic:spPr bwMode="auto">
                    <a:xfrm>
                      <a:off x="0" y="0"/>
                      <a:ext cx="4295663" cy="1748450"/>
                    </a:xfrm>
                    <a:prstGeom prst="rect">
                      <a:avLst/>
                    </a:prstGeom>
                    <a:noFill/>
                    <a:ln w="9525">
                      <a:noFill/>
                      <a:miter lim="800000"/>
                      <a:headEnd/>
                      <a:tailEnd/>
                    </a:ln>
                  </pic:spPr>
                </pic:pic>
              </a:graphicData>
            </a:graphic>
          </wp:inline>
        </w:drawing>
      </w:r>
      <w:r>
        <w:rPr>
          <w:rFonts w:cs="宋体" w:hint="eastAsia"/>
          <w:color w:val="000000"/>
          <w:kern w:val="0"/>
          <w:szCs w:val="24"/>
        </w:rPr>
        <w:t xml:space="preserve"> </w:t>
      </w:r>
    </w:p>
    <w:p w:rsidR="00B86458" w:rsidRDefault="00B86458" w:rsidP="000A106E">
      <w:pPr>
        <w:spacing w:line="360" w:lineRule="auto"/>
        <w:ind w:firstLine="403"/>
        <w:jc w:val="left"/>
        <w:rPr>
          <w:rFonts w:cs="宋体"/>
          <w:color w:val="000000"/>
          <w:kern w:val="0"/>
          <w:szCs w:val="24"/>
        </w:rPr>
      </w:pPr>
    </w:p>
    <w:p w:rsidR="000A106E" w:rsidRDefault="000A106E" w:rsidP="000A106E">
      <w:pPr>
        <w:spacing w:line="360" w:lineRule="auto"/>
        <w:ind w:firstLine="403"/>
        <w:jc w:val="left"/>
        <w:rPr>
          <w:rFonts w:cs="宋体"/>
          <w:color w:val="000000"/>
          <w:kern w:val="0"/>
          <w:szCs w:val="24"/>
        </w:rPr>
      </w:pPr>
      <w:r w:rsidRPr="00F57397">
        <w:rPr>
          <w:rFonts w:cs="宋体" w:hint="eastAsia"/>
          <w:color w:val="000000"/>
          <w:kern w:val="0"/>
          <w:szCs w:val="24"/>
        </w:rPr>
        <w:t>培训初始，以分组互动游戏的方式促进参会人员互相认识，也将学员的学习积极性充分调动起来，将学员的热情带入到本次培训的氛围当中，接下来由主讲人协会副秘书长王志华对服务外包的概念、相关政策、及案例进行了详细的介绍，并组织学员进行分组讨论，同时对省产业专向资金申报的类别、获得支持的金额和条件、注意事项、申报流程、编写申报材料及在申报过程中常遇到的问题进行了详细的介绍和说明。最后组织学员分组就项目申报过程的经验进行总结分享，学员们踊跃发言，互相介绍了自己多年申报的经验和技巧，在学员间热烈讨论的气氛中，本次培训也落下了帷幕。</w:t>
      </w:r>
    </w:p>
    <w:p w:rsidR="00B86458" w:rsidRDefault="00B86458" w:rsidP="00B86458">
      <w:pPr>
        <w:pStyle w:val="4"/>
        <w:rPr>
          <w:rFonts w:cs="宋体"/>
          <w:color w:val="000000"/>
          <w:kern w:val="0"/>
          <w:sz w:val="24"/>
          <w:szCs w:val="24"/>
        </w:rPr>
      </w:pPr>
      <w:r w:rsidRPr="000A106E">
        <w:rPr>
          <w:rFonts w:hint="eastAsia"/>
        </w:rPr>
        <w:t>广东省服务外包产业促进会一行到珠海调研</w:t>
      </w:r>
      <w:r>
        <w:rPr>
          <w:rFonts w:cs="Calibri" w:hint="eastAsia"/>
          <w:color w:val="000000"/>
          <w:kern w:val="0"/>
          <w:sz w:val="24"/>
          <w:szCs w:val="24"/>
        </w:rPr>
        <w:t xml:space="preserve">  </w:t>
      </w:r>
    </w:p>
    <w:p w:rsidR="00B86458" w:rsidRPr="00B86458" w:rsidRDefault="00B86458" w:rsidP="000A106E">
      <w:pPr>
        <w:spacing w:line="360" w:lineRule="auto"/>
        <w:ind w:firstLine="403"/>
        <w:jc w:val="left"/>
        <w:rPr>
          <w:rFonts w:cs="宋体"/>
          <w:color w:val="000000"/>
          <w:kern w:val="0"/>
          <w:szCs w:val="24"/>
        </w:rPr>
      </w:pPr>
      <w:r>
        <w:rPr>
          <w:rFonts w:cs="宋体" w:hint="eastAsia"/>
          <w:color w:val="000000"/>
          <w:kern w:val="0"/>
          <w:szCs w:val="24"/>
        </w:rPr>
        <w:t>1</w:t>
      </w:r>
      <w:r w:rsidRPr="000A106E">
        <w:rPr>
          <w:rFonts w:cs="宋体" w:hint="eastAsia"/>
          <w:color w:val="000000"/>
          <w:kern w:val="0"/>
          <w:szCs w:val="24"/>
        </w:rPr>
        <w:t>0</w:t>
      </w:r>
      <w:r w:rsidRPr="000A106E">
        <w:rPr>
          <w:rFonts w:cs="宋体" w:hint="eastAsia"/>
          <w:color w:val="000000"/>
          <w:kern w:val="0"/>
          <w:szCs w:val="24"/>
        </w:rPr>
        <w:t>月</w:t>
      </w:r>
      <w:r w:rsidRPr="000A106E">
        <w:rPr>
          <w:rFonts w:cs="宋体" w:hint="eastAsia"/>
          <w:color w:val="000000"/>
          <w:kern w:val="0"/>
          <w:szCs w:val="24"/>
        </w:rPr>
        <w:t>21</w:t>
      </w:r>
      <w:r w:rsidRPr="000A106E">
        <w:rPr>
          <w:rFonts w:cs="宋体" w:hint="eastAsia"/>
          <w:color w:val="000000"/>
          <w:kern w:val="0"/>
          <w:szCs w:val="24"/>
        </w:rPr>
        <w:t>日，广东省服务外包产业促进会孟霖会长、副会长黄燕玲一行人员来珠海调研，南方软件园、珠海市服务外包行业协会、珠海爱浦京软件技术有限公司、珠海市宇能科技有限公司、珠海南方集成电路设计服务中心等服务外包行业相关人员参加了会议。</w:t>
      </w:r>
    </w:p>
    <w:p w:rsidR="00B86458" w:rsidRDefault="00B86458" w:rsidP="000A106E">
      <w:pPr>
        <w:spacing w:line="360" w:lineRule="auto"/>
        <w:ind w:firstLine="403"/>
        <w:jc w:val="left"/>
        <w:rPr>
          <w:rFonts w:cs="宋体"/>
          <w:color w:val="000000"/>
          <w:kern w:val="0"/>
          <w:szCs w:val="24"/>
        </w:rPr>
      </w:pPr>
      <w:r w:rsidRPr="000B3ABE">
        <w:rPr>
          <w:rFonts w:cs="宋体" w:hint="eastAsia"/>
          <w:color w:val="000000"/>
          <w:kern w:val="0"/>
          <w:szCs w:val="24"/>
        </w:rPr>
        <w:t>会上，南方软件园副总可爱群就南方软件园服务外包发展现状及未来发展战略计划进行了全面汇报；孟霖会长表示后续会加大对园区的服务外包产业的支持力度，</w:t>
      </w:r>
      <w:r>
        <w:rPr>
          <w:rFonts w:cs="宋体" w:hint="eastAsia"/>
          <w:color w:val="000000"/>
          <w:kern w:val="0"/>
          <w:szCs w:val="24"/>
        </w:rPr>
        <w:t>珠海市服务外包行业协会的副秘书长就协会的工作情况进行了汇报，</w:t>
      </w:r>
      <w:r w:rsidRPr="000B3ABE">
        <w:rPr>
          <w:rFonts w:cs="宋体" w:hint="eastAsia"/>
          <w:color w:val="000000"/>
          <w:kern w:val="0"/>
          <w:szCs w:val="24"/>
        </w:rPr>
        <w:t>珠海爱浦京软件技术有限公司、</w:t>
      </w:r>
    </w:p>
    <w:p w:rsidR="00F82F60" w:rsidRDefault="00F82F60" w:rsidP="00B86458">
      <w:pPr>
        <w:spacing w:line="360" w:lineRule="auto"/>
        <w:ind w:firstLine="480"/>
        <w:rPr>
          <w:rFonts w:cs="宋体"/>
          <w:color w:val="000000"/>
          <w:kern w:val="0"/>
          <w:szCs w:val="24"/>
        </w:rPr>
      </w:pPr>
    </w:p>
    <w:p w:rsidR="00F82F60" w:rsidRPr="00F82F60" w:rsidRDefault="00FE2E13" w:rsidP="00F82F60">
      <w:pPr>
        <w:rPr>
          <w:rFonts w:ascii="宋体" w:hAnsi="宋体" w:cs="宋体"/>
          <w:kern w:val="0"/>
          <w:szCs w:val="24"/>
        </w:rPr>
      </w:pPr>
      <w:r>
        <w:rPr>
          <w:rFonts w:ascii="宋体" w:hAnsi="宋体" w:cs="宋体"/>
          <w:noProof/>
          <w:kern w:val="0"/>
          <w:szCs w:val="24"/>
        </w:rPr>
        <w:lastRenderedPageBreak/>
        <w:pict>
          <v:shape id="_x0000_s1051" type="#_x0000_t202" style="position:absolute;left:0;text-align:left;margin-left:320.25pt;margin-top:-7.15pt;width:345.75pt;height:193.5pt;z-index:251686912" filled="f" stroked="f">
            <v:textbox style="mso-next-textbox:#_x0000_s1051">
              <w:txbxContent>
                <w:p w:rsidR="00F82F60" w:rsidRPr="001925DE" w:rsidRDefault="00F82F60" w:rsidP="00F82F60">
                  <w:pPr>
                    <w:spacing w:line="360" w:lineRule="auto"/>
                    <w:rPr>
                      <w:szCs w:val="24"/>
                    </w:rPr>
                  </w:pPr>
                  <w:r>
                    <w:rPr>
                      <w:rFonts w:cs="宋体" w:hint="eastAsia"/>
                      <w:color w:val="000000"/>
                      <w:kern w:val="0"/>
                      <w:szCs w:val="24"/>
                    </w:rPr>
                    <w:t xml:space="preserve">  </w:t>
                  </w:r>
                  <w:r w:rsidRPr="001925DE">
                    <w:rPr>
                      <w:rFonts w:cs="宋体" w:hint="eastAsia"/>
                      <w:color w:val="000000"/>
                      <w:kern w:val="0"/>
                      <w:szCs w:val="24"/>
                    </w:rPr>
                    <w:t xml:space="preserve">  </w:t>
                  </w:r>
                  <w:r w:rsidRPr="000B3ABE">
                    <w:rPr>
                      <w:rFonts w:cs="宋体" w:hint="eastAsia"/>
                      <w:color w:val="000000"/>
                      <w:kern w:val="0"/>
                      <w:szCs w:val="24"/>
                    </w:rPr>
                    <w:t>珠海市宇能科技有限公司、珠海南方集成电路设计服务中心的企业代表也对服务外包相关政策提出了建议，副会长黄燕玲还指出珠海市服务外包产业发展潜力巨大，希望协会能够充分挖掘珠海市服务外包产业潜能，努力把珠海市的服务外包产业做大做强，为更多的服务外包企业提供专业优质服务。</w:t>
                  </w:r>
                </w:p>
              </w:txbxContent>
            </v:textbox>
          </v:shape>
        </w:pict>
      </w:r>
      <w:r w:rsidR="00F82F60" w:rsidRPr="00F82F60">
        <w:t xml:space="preserve"> </w:t>
      </w:r>
      <w:r w:rsidR="00F82F60">
        <w:rPr>
          <w:rFonts w:ascii="宋体" w:hAnsi="宋体" w:cs="宋体"/>
          <w:noProof/>
          <w:kern w:val="0"/>
          <w:szCs w:val="24"/>
        </w:rPr>
        <w:drawing>
          <wp:inline distT="0" distB="0" distL="0" distR="0">
            <wp:extent cx="3643993" cy="1962150"/>
            <wp:effectExtent l="19050" t="0" r="0" b="0"/>
            <wp:docPr id="6" name="图片 2" descr="C:\Users\User\AppData\Roaming\Tencent\Users\523707068\QQ\WinTemp\RichOle\`N@5COGYJSV$UWW5IUO_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Roaming\Tencent\Users\523707068\QQ\WinTemp\RichOle\`N@5COGYJSV$UWW5IUO_8}H.jpg"/>
                    <pic:cNvPicPr>
                      <a:picLocks noChangeAspect="1" noChangeArrowheads="1"/>
                    </pic:cNvPicPr>
                  </pic:nvPicPr>
                  <pic:blipFill>
                    <a:blip r:embed="rId23"/>
                    <a:srcRect/>
                    <a:stretch>
                      <a:fillRect/>
                    </a:stretch>
                  </pic:blipFill>
                  <pic:spPr bwMode="auto">
                    <a:xfrm>
                      <a:off x="0" y="0"/>
                      <a:ext cx="3643993" cy="1962150"/>
                    </a:xfrm>
                    <a:prstGeom prst="rect">
                      <a:avLst/>
                    </a:prstGeom>
                    <a:noFill/>
                    <a:ln w="9525">
                      <a:noFill/>
                      <a:miter lim="800000"/>
                      <a:headEnd/>
                      <a:tailEnd/>
                    </a:ln>
                  </pic:spPr>
                </pic:pic>
              </a:graphicData>
            </a:graphic>
          </wp:inline>
        </w:drawing>
      </w:r>
    </w:p>
    <w:p w:rsidR="00A92631" w:rsidRDefault="00A92631" w:rsidP="00B86458">
      <w:pPr>
        <w:spacing w:line="360" w:lineRule="auto"/>
        <w:ind w:firstLine="480"/>
      </w:pPr>
      <w:bookmarkStart w:id="15" w:name="_Toc402948440"/>
    </w:p>
    <w:p w:rsidR="00F82F60" w:rsidRDefault="00357750" w:rsidP="00F82F60">
      <w:pPr>
        <w:pStyle w:val="4"/>
      </w:pPr>
      <w:r w:rsidRPr="00357750">
        <w:rPr>
          <w:rFonts w:hint="eastAsia"/>
        </w:rPr>
        <w:t>协会秘书处走访非会员企业</w:t>
      </w:r>
      <w:bookmarkEnd w:id="15"/>
    </w:p>
    <w:p w:rsidR="00F82F60" w:rsidRPr="00F82F60" w:rsidRDefault="00FE2E13" w:rsidP="00F82F60">
      <w:pPr>
        <w:widowControl/>
        <w:jc w:val="left"/>
        <w:rPr>
          <w:rFonts w:ascii="宋体" w:hAnsi="宋体" w:cs="宋体"/>
          <w:kern w:val="0"/>
          <w:szCs w:val="24"/>
        </w:rPr>
      </w:pPr>
      <w:r>
        <w:rPr>
          <w:rFonts w:ascii="宋体" w:hAnsi="宋体" w:cs="宋体"/>
          <w:noProof/>
          <w:kern w:val="0"/>
          <w:szCs w:val="24"/>
        </w:rPr>
        <w:pict>
          <v:shape id="_x0000_s1052" type="#_x0000_t202" style="position:absolute;margin-left:306.75pt;margin-top:3.5pt;width:396.75pt;height:222pt;z-index:251687936" filled="f" stroked="f">
            <v:textbox style="mso-next-textbox:#_x0000_s1052">
              <w:txbxContent>
                <w:p w:rsidR="00F82F60" w:rsidRDefault="00F82F60"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为了更广泛的宣传服务外包知识和服务外包政策，让更多符合服务外包的企业更好地了解服务外包协会的工作内容和服务项目，在会长单位珠海爱浦京软件技术有限公司的带领下，2014年10月30号，协会秘书处全体人员先后走访了三家具有一定规模的服务外包企业：珠海中慧微电子有限公司、珠海思创电气有限公司、得理乐器（珠海）有限公司。</w:t>
                  </w:r>
                </w:p>
                <w:p w:rsidR="00F82F60" w:rsidRPr="00F82F60" w:rsidRDefault="00F82F60" w:rsidP="00F82F60">
                  <w:pPr>
                    <w:spacing w:line="360" w:lineRule="auto"/>
                    <w:ind w:firstLine="480"/>
                    <w:rPr>
                      <w:szCs w:val="24"/>
                    </w:rPr>
                  </w:pPr>
                  <w:r w:rsidRPr="00387779">
                    <w:rPr>
                      <w:rFonts w:asciiTheme="majorEastAsia" w:eastAsiaTheme="majorEastAsia" w:hAnsiTheme="majorEastAsia" w:cs="宋体" w:hint="eastAsia"/>
                      <w:color w:val="000000"/>
                      <w:kern w:val="0"/>
                      <w:szCs w:val="24"/>
                    </w:rPr>
                    <w:t>本次走访主要是宣传国家、省、市服务外包的相关政策，了解企业实际开展的业务类别和规模，根据企业实际经营情况为企业介绍服务外包企业可以享受到的政策优惠，并解答企业对服务外包政策具体明细中的疑问。</w:t>
                  </w:r>
                </w:p>
              </w:txbxContent>
            </v:textbox>
          </v:shape>
        </w:pict>
      </w:r>
      <w:r w:rsidR="00F82F60">
        <w:rPr>
          <w:rFonts w:ascii="宋体" w:hAnsi="宋体" w:cs="宋体"/>
          <w:noProof/>
          <w:kern w:val="0"/>
          <w:szCs w:val="24"/>
        </w:rPr>
        <w:drawing>
          <wp:inline distT="0" distB="0" distL="0" distR="0">
            <wp:extent cx="3759778" cy="2847975"/>
            <wp:effectExtent l="19050" t="0" r="0" b="0"/>
            <wp:docPr id="7" name="图片 3" descr="C:\Users\User\AppData\Roaming\Tencent\Users\523707068\QQ\WinTemp\RichOle\DT0LTFA]@]T@GAR59Z13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Roaming\Tencent\Users\523707068\QQ\WinTemp\RichOle\DT0LTFA]@]T@GAR59Z13RDS.jpg"/>
                    <pic:cNvPicPr>
                      <a:picLocks noChangeAspect="1" noChangeArrowheads="1"/>
                    </pic:cNvPicPr>
                  </pic:nvPicPr>
                  <pic:blipFill>
                    <a:blip r:embed="rId24"/>
                    <a:srcRect/>
                    <a:stretch>
                      <a:fillRect/>
                    </a:stretch>
                  </pic:blipFill>
                  <pic:spPr bwMode="auto">
                    <a:xfrm>
                      <a:off x="0" y="0"/>
                      <a:ext cx="3759778" cy="2847975"/>
                    </a:xfrm>
                    <a:prstGeom prst="rect">
                      <a:avLst/>
                    </a:prstGeom>
                    <a:noFill/>
                    <a:ln w="9525">
                      <a:noFill/>
                      <a:miter lim="800000"/>
                      <a:headEnd/>
                      <a:tailEnd/>
                    </a:ln>
                  </pic:spPr>
                </pic:pic>
              </a:graphicData>
            </a:graphic>
          </wp:inline>
        </w:drawing>
      </w:r>
    </w:p>
    <w:p w:rsidR="00405AC7" w:rsidRPr="004109EC" w:rsidRDefault="00405AC7" w:rsidP="001452F2">
      <w:pPr>
        <w:rPr>
          <w:rFonts w:ascii="黑体" w:eastAsia="黑体"/>
          <w:b/>
          <w:bCs/>
          <w:color w:val="333399"/>
          <w:sz w:val="30"/>
          <w:szCs w:val="30"/>
          <w:shd w:val="pct15" w:color="auto" w:fill="FFFFFF"/>
        </w:rPr>
      </w:pPr>
      <w:r w:rsidRPr="004109EC">
        <w:rPr>
          <w:rFonts w:ascii="黑体" w:eastAsia="黑体" w:hint="eastAsia"/>
          <w:b/>
          <w:bCs/>
          <w:color w:val="333399"/>
          <w:sz w:val="30"/>
          <w:szCs w:val="30"/>
          <w:shd w:val="pct15" w:color="auto" w:fill="FFFFFF"/>
        </w:rPr>
        <w:lastRenderedPageBreak/>
        <w:t>政</w:t>
      </w:r>
      <w:r w:rsidRPr="004109EC">
        <w:rPr>
          <w:rFonts w:ascii="黑体" w:eastAsia="黑体"/>
          <w:b/>
          <w:bCs/>
          <w:color w:val="333399"/>
          <w:sz w:val="30"/>
          <w:szCs w:val="30"/>
          <w:shd w:val="pct15" w:color="auto" w:fill="FFFFFF"/>
        </w:rPr>
        <w:t xml:space="preserve"> </w:t>
      </w:r>
      <w:r w:rsidRPr="004109EC">
        <w:rPr>
          <w:rFonts w:ascii="黑体" w:eastAsia="黑体" w:hint="eastAsia"/>
          <w:b/>
          <w:bCs/>
          <w:color w:val="333399"/>
          <w:sz w:val="30"/>
          <w:szCs w:val="30"/>
          <w:shd w:val="pct15" w:color="auto" w:fill="FFFFFF"/>
        </w:rPr>
        <w:t>策</w:t>
      </w:r>
      <w:r w:rsidRPr="004109EC">
        <w:rPr>
          <w:rFonts w:ascii="黑体" w:eastAsia="黑体"/>
          <w:b/>
          <w:bCs/>
          <w:color w:val="333399"/>
          <w:sz w:val="30"/>
          <w:szCs w:val="30"/>
          <w:shd w:val="pct15" w:color="auto" w:fill="FFFFFF"/>
        </w:rPr>
        <w:t xml:space="preserve"> </w:t>
      </w:r>
      <w:r w:rsidRPr="004109EC">
        <w:rPr>
          <w:rFonts w:ascii="黑体" w:eastAsia="黑体" w:hint="eastAsia"/>
          <w:b/>
          <w:bCs/>
          <w:color w:val="333399"/>
          <w:sz w:val="30"/>
          <w:szCs w:val="30"/>
          <w:shd w:val="pct15" w:color="auto" w:fill="FFFFFF"/>
        </w:rPr>
        <w:t>法</w:t>
      </w:r>
      <w:r w:rsidRPr="004109EC">
        <w:rPr>
          <w:rFonts w:ascii="黑体" w:eastAsia="黑体"/>
          <w:b/>
          <w:bCs/>
          <w:color w:val="333399"/>
          <w:sz w:val="30"/>
          <w:szCs w:val="30"/>
          <w:shd w:val="pct15" w:color="auto" w:fill="FFFFFF"/>
        </w:rPr>
        <w:t xml:space="preserve"> </w:t>
      </w:r>
      <w:r w:rsidRPr="004109EC">
        <w:rPr>
          <w:rFonts w:ascii="黑体" w:eastAsia="黑体" w:hint="eastAsia"/>
          <w:b/>
          <w:bCs/>
          <w:color w:val="333399"/>
          <w:sz w:val="30"/>
          <w:szCs w:val="30"/>
          <w:shd w:val="pct15" w:color="auto" w:fill="FFFFFF"/>
        </w:rPr>
        <w:t>规</w:t>
      </w:r>
    </w:p>
    <w:p w:rsidR="00405AC7" w:rsidRPr="000B430A" w:rsidRDefault="000B430A" w:rsidP="00FF6A66">
      <w:pPr>
        <w:pStyle w:val="4"/>
      </w:pPr>
      <w:bookmarkStart w:id="16" w:name="_Toc402948441"/>
      <w:r w:rsidRPr="000B430A">
        <w:rPr>
          <w:rFonts w:asciiTheme="majorEastAsia" w:eastAsiaTheme="majorEastAsia" w:hAnsiTheme="majorEastAsia" w:hint="eastAsia"/>
        </w:rPr>
        <w:t>财库[2014]37号 《关于推进和完善服务项目政府采购有关问题的通知》</w:t>
      </w:r>
      <w:bookmarkEnd w:id="16"/>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党中央有关部门，国务院各部委、各直属机构，全国人大常委会办公厅，全国政协办公厅，高法院，高检院，有关人民团体，各省、自治区、直辖市、计划单列市财政厅（局），新疆生产建设兵团财务局：</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为贯彻落实党的十八届三中全会《中共中央关于全面深化改革若干重大问题的决定》精神，大力推进政府购买服务工作，根据《政府采购法》、《国务院办公厅关于政府向社会力量购买服务的指导意见》（国办发［２０１３］９６号）等有关规定，现将推进和完善服务项目政府采购有关事项通知如下：</w:t>
      </w:r>
    </w:p>
    <w:p w:rsidR="000B430A" w:rsidRPr="00F82F60" w:rsidRDefault="000B430A" w:rsidP="00F82F60">
      <w:pPr>
        <w:spacing w:line="360" w:lineRule="auto"/>
        <w:ind w:firstLine="480"/>
        <w:rPr>
          <w:rFonts w:asciiTheme="majorEastAsia" w:eastAsiaTheme="majorEastAsia" w:hAnsiTheme="majorEastAsia" w:cs="宋体"/>
          <w:b/>
          <w:color w:val="000000"/>
          <w:kern w:val="0"/>
          <w:szCs w:val="24"/>
        </w:rPr>
      </w:pPr>
      <w:r w:rsidRPr="00F82F60">
        <w:rPr>
          <w:rFonts w:asciiTheme="majorEastAsia" w:eastAsiaTheme="majorEastAsia" w:hAnsiTheme="majorEastAsia" w:cs="宋体" w:hint="eastAsia"/>
          <w:b/>
          <w:color w:val="000000"/>
          <w:kern w:val="0"/>
          <w:szCs w:val="24"/>
        </w:rPr>
        <w:t>一、分类推进服务项目政府采购工作</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根据现行政府采购品目分类，按照服务受益对象将服务项目分为三类：</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第一类为保障政府部门自身正常运转需要向社会购买的服务。如公文印刷、物业管理、公车租赁、系统维护等。</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第二类为政府部门为履行宏观调控、市场监管等职能需要向社会购买的服务。如法规政策、发展规划、标准制定的前期研究和后期宣传、法律咨询等。</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第三类为增加国民福利、受益对象特定，政府向社会公众提供的公共服务。包括：以物为对象的公共服务，如公共设施管理服务、环境服务、专业技术服务等；以人为对象的公共服务，如教育、医疗卫生和社会服务等。</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要按照“方式灵活、程序简便、竞争有序、结果评价”的原则，针对服务项目的不同特点，探索与之相适应的采购方式、评审制度与合同类型，建立健全适应服务项目政府采购工作特点的新机制。</w:t>
      </w:r>
    </w:p>
    <w:p w:rsidR="000B430A" w:rsidRPr="00F82F60" w:rsidRDefault="000B430A" w:rsidP="00F82F60">
      <w:pPr>
        <w:spacing w:line="360" w:lineRule="auto"/>
        <w:ind w:firstLine="480"/>
        <w:rPr>
          <w:rFonts w:asciiTheme="majorEastAsia" w:eastAsiaTheme="majorEastAsia" w:hAnsiTheme="majorEastAsia" w:cs="宋体"/>
          <w:b/>
          <w:color w:val="000000"/>
          <w:kern w:val="0"/>
          <w:szCs w:val="24"/>
        </w:rPr>
      </w:pPr>
      <w:r w:rsidRPr="00F82F60">
        <w:rPr>
          <w:rFonts w:asciiTheme="majorEastAsia" w:eastAsiaTheme="majorEastAsia" w:hAnsiTheme="majorEastAsia" w:cs="宋体" w:hint="eastAsia"/>
          <w:b/>
          <w:color w:val="000000"/>
          <w:kern w:val="0"/>
          <w:szCs w:val="24"/>
        </w:rPr>
        <w:t>二、加强政府采购服务项目采购需求管理</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推进制定完整、明确、符合国家法律法规以及政府采购政策规定的服务采购需求标准。第一类中列入政府集中采购目录的服务项目，采购需求标准由集中采购机构提出。其他服务项目的采购需求标准由采购人（购买主体）提出。采购人、集中采购机构制定采购</w:t>
      </w:r>
      <w:r w:rsidRPr="00F82F60">
        <w:rPr>
          <w:rFonts w:asciiTheme="majorEastAsia" w:eastAsiaTheme="majorEastAsia" w:hAnsiTheme="majorEastAsia" w:cs="宋体" w:hint="eastAsia"/>
          <w:color w:val="000000"/>
          <w:kern w:val="0"/>
          <w:szCs w:val="24"/>
        </w:rPr>
        <w:lastRenderedPageBreak/>
        <w:t>需求标准时，应当广泛征求相关供应商（承接主体）、专家意见。对于第三类服务项目，还应当征求社会公众的意见。各省级财政部门可以根据实际情况，分品目制定发布适用于本行政区域的服务项目采购需求标准。</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加强采购需求制定相关的内控管理。采购人、集中采购机构应当明确相关岗位的职责和权限，确保政府采购需求制定与内部审批、采购文件准备与验收等不相容岗位分设。</w:t>
      </w:r>
    </w:p>
    <w:p w:rsidR="000B430A" w:rsidRPr="00F82F60" w:rsidRDefault="000B430A" w:rsidP="00F82F60">
      <w:pPr>
        <w:spacing w:line="360" w:lineRule="auto"/>
        <w:ind w:firstLine="480"/>
        <w:rPr>
          <w:rFonts w:asciiTheme="majorEastAsia" w:eastAsiaTheme="majorEastAsia" w:hAnsiTheme="majorEastAsia" w:cs="宋体"/>
          <w:b/>
          <w:color w:val="000000"/>
          <w:kern w:val="0"/>
          <w:szCs w:val="24"/>
        </w:rPr>
      </w:pPr>
      <w:r w:rsidRPr="00F82F60">
        <w:rPr>
          <w:rFonts w:asciiTheme="majorEastAsia" w:eastAsiaTheme="majorEastAsia" w:hAnsiTheme="majorEastAsia" w:cs="宋体" w:hint="eastAsia"/>
          <w:b/>
          <w:color w:val="000000"/>
          <w:kern w:val="0"/>
          <w:szCs w:val="24"/>
        </w:rPr>
        <w:t>三、灵活开展服务项目政府采购活动</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简化采购方式变更的审核程序。采购人要按照政府采购法律制度规定，根据服务项目的采购需求特点，选择适用采购方式。对于采购需求处于探索阶段或不具备竞争条件的第三类服务项目，符合《政府采购法》第二十七条规定申请适用公开招标以外的采购方式的，财政部门要简化申请材料要求，也可以改变现行一事一批的管理模式，实行一揽子批复。</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积极探索新的政府采购合同类型。各地各部门可以根据政府采购服务项目的需求特点，灵活采用购买、委托、租赁、雇用等各种合同方式，探索研究金额不固定、数量不固定、期限不固定、特许经营服务等新型合同类型。各省级财政部门可在此基础上制定发布相应的合同范本。</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积极培育政府购买服务供给市场。对于有服务区域范围要求、但本地区供应商无法形成有效竞争的服务项目，采购人可以采取将大额项目拆分采购、新增项目向其他供应商采购等措施，促进建立良性的市场竞争关系。采购需求具有相对固定性、延续性且价格变化幅度小的服务项目，在年度预算能保障的前提下，采购人可以签订不超过三年履行期限的政府采购合同。</w:t>
      </w:r>
    </w:p>
    <w:p w:rsidR="000B430A" w:rsidRPr="00F82F60" w:rsidRDefault="000B430A" w:rsidP="00F82F60">
      <w:pPr>
        <w:spacing w:line="360" w:lineRule="auto"/>
        <w:ind w:firstLine="480"/>
        <w:rPr>
          <w:rFonts w:asciiTheme="majorEastAsia" w:eastAsiaTheme="majorEastAsia" w:hAnsiTheme="majorEastAsia" w:cs="宋体"/>
          <w:b/>
          <w:color w:val="000000"/>
          <w:kern w:val="0"/>
          <w:szCs w:val="24"/>
        </w:rPr>
      </w:pPr>
      <w:r w:rsidRPr="00F82F60">
        <w:rPr>
          <w:rFonts w:asciiTheme="majorEastAsia" w:eastAsiaTheme="majorEastAsia" w:hAnsiTheme="majorEastAsia" w:cs="宋体" w:hint="eastAsia"/>
          <w:b/>
          <w:color w:val="000000"/>
          <w:kern w:val="0"/>
          <w:szCs w:val="24"/>
        </w:rPr>
        <w:t>四、严格服务项目政府采购履约验收管理</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完善服务项目履约验收管理制度。采购人或者集中采购机构应当按照采购合同规定组织履约验收，并出具验收书，验收书应当包括每一项服务要求的履约情况。第二类服务项目，供应商提交的服务成果应当在政府部门内部公开。第三类服务项目，验收时可以邀请第三方评价机构参与并出具意见，验收结果应当向社会公告。以人为对象的公共服务项目，验收时还应按一定比例邀请服务对象参与并出具意见。</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lastRenderedPageBreak/>
        <w:t>鼓励引入政府采购履约担保制度。对于金额较大、履约周期长、社会影响面广或者对供应商有较高信誉要求的服务项目，可以探索运用市场化手段，引入政府采购信用担保，通过履约担保促进供应商保证服务效果，提高服务水平。</w:t>
      </w:r>
    </w:p>
    <w:p w:rsidR="000B430A" w:rsidRPr="00F82F60" w:rsidRDefault="000B430A" w:rsidP="00F82F60">
      <w:pPr>
        <w:spacing w:line="360" w:lineRule="auto"/>
        <w:ind w:firstLine="480"/>
        <w:rPr>
          <w:rFonts w:asciiTheme="majorEastAsia" w:eastAsiaTheme="majorEastAsia" w:hAnsiTheme="majorEastAsia" w:cs="宋体"/>
          <w:b/>
          <w:color w:val="000000"/>
          <w:kern w:val="0"/>
          <w:szCs w:val="24"/>
        </w:rPr>
      </w:pPr>
      <w:r w:rsidRPr="00F82F60">
        <w:rPr>
          <w:rFonts w:asciiTheme="majorEastAsia" w:eastAsiaTheme="majorEastAsia" w:hAnsiTheme="majorEastAsia" w:cs="宋体" w:hint="eastAsia"/>
          <w:b/>
          <w:color w:val="000000"/>
          <w:kern w:val="0"/>
          <w:szCs w:val="24"/>
        </w:rPr>
        <w:t>五、推进政府采购服务项目绩效评价</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建立绩效评价与后续采购相衔接的管理制度。按照全过程预算绩效管理制度要求，加强服务项目政府采购绩效评价，对项目的资金节约、政策效能、透明程度以及专业化水平进行综合、客观评价。对于服务项目验收或者绩效评价结果优秀的供应商，在同类项目的采购中同等条件下可以优先考虑。</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各地各部门应当根据上述原则和要求，积极推进和完善服务项目政府采购工作。各地可根据实际，研究制定符合本地条件的服务项目政府采购的具体操作程序和办法，确保服务采购环节的顺畅高效。</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 xml:space="preserve">                                                                                        财政部</w:t>
      </w:r>
    </w:p>
    <w:p w:rsidR="000B430A" w:rsidRPr="00F82F60" w:rsidRDefault="000B430A" w:rsidP="00F82F60">
      <w:pPr>
        <w:spacing w:line="360" w:lineRule="auto"/>
        <w:ind w:firstLine="480"/>
        <w:rPr>
          <w:rFonts w:asciiTheme="majorEastAsia" w:eastAsiaTheme="majorEastAsia" w:hAnsiTheme="majorEastAsia" w:cs="宋体"/>
          <w:color w:val="000000"/>
          <w:kern w:val="0"/>
          <w:szCs w:val="24"/>
        </w:rPr>
      </w:pPr>
      <w:r w:rsidRPr="00F82F60">
        <w:rPr>
          <w:rFonts w:asciiTheme="majorEastAsia" w:eastAsiaTheme="majorEastAsia" w:hAnsiTheme="majorEastAsia" w:cs="宋体" w:hint="eastAsia"/>
          <w:color w:val="000000"/>
          <w:kern w:val="0"/>
          <w:szCs w:val="24"/>
        </w:rPr>
        <w:t xml:space="preserve">                                                                                   ２０１４年４月１４日</w:t>
      </w:r>
    </w:p>
    <w:p w:rsidR="000B430A" w:rsidRPr="000B430A" w:rsidRDefault="000B430A" w:rsidP="000B430A">
      <w:pPr>
        <w:widowControl/>
        <w:spacing w:line="390" w:lineRule="atLeast"/>
        <w:jc w:val="left"/>
        <w:rPr>
          <w:rFonts w:ascii="微软雅黑" w:eastAsia="微软雅黑" w:hAnsi="微软雅黑" w:cs="宋体"/>
          <w:color w:val="000000" w:themeColor="text1"/>
          <w:kern w:val="0"/>
          <w:szCs w:val="21"/>
        </w:rPr>
      </w:pPr>
    </w:p>
    <w:p w:rsidR="006D3A69" w:rsidRDefault="006D3A69" w:rsidP="00FF6A66">
      <w:pPr>
        <w:pStyle w:val="4"/>
        <w:rPr>
          <w:rFonts w:ascii="宋体" w:hAnsi="宋体"/>
          <w:color w:val="000000" w:themeColor="text1"/>
          <w:shd w:val="clear" w:color="auto" w:fill="FFFFFF"/>
        </w:rPr>
      </w:pPr>
      <w:bookmarkStart w:id="17" w:name="_Toc402948442"/>
      <w:r w:rsidRPr="006D3A69">
        <w:rPr>
          <w:rFonts w:ascii="宋体" w:hAnsi="宋体" w:hint="eastAsia"/>
          <w:color w:val="000000" w:themeColor="text1"/>
          <w:shd w:val="clear" w:color="auto" w:fill="FFFFFF"/>
        </w:rPr>
        <w:lastRenderedPageBreak/>
        <w:t>“财库[2014]37号 关于推进和完善服务项目政府采购有关问题的通知 ”政策解读</w:t>
      </w:r>
      <w:bookmarkEnd w:id="17"/>
    </w:p>
    <w:p w:rsidR="006D3A69" w:rsidRPr="006D3A69" w:rsidRDefault="006D3A69" w:rsidP="006D3A69">
      <w:pPr>
        <w:widowControl/>
        <w:jc w:val="left"/>
        <w:rPr>
          <w:rFonts w:ascii="宋体" w:hAnsi="宋体" w:cs="宋体"/>
          <w:kern w:val="0"/>
          <w:szCs w:val="24"/>
        </w:rPr>
      </w:pPr>
      <w:r>
        <w:rPr>
          <w:rFonts w:ascii="宋体" w:hAnsi="宋体" w:cs="宋体"/>
          <w:noProof/>
          <w:kern w:val="0"/>
          <w:szCs w:val="24"/>
        </w:rPr>
        <w:drawing>
          <wp:inline distT="0" distB="0" distL="0" distR="0">
            <wp:extent cx="8838769" cy="3733800"/>
            <wp:effectExtent l="19050" t="0" r="431" b="0"/>
            <wp:docPr id="57" name="图片 52" descr="C:\Users\User\AppData\Roaming\Tencent\Users\523707068\QQ\WinTemp\RichOle\AZGAZD%)`YNAL@O[BK57K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Roaming\Tencent\Users\523707068\QQ\WinTemp\RichOle\AZGAZD%)`YNAL@O[BK57KA8.jpg"/>
                    <pic:cNvPicPr>
                      <a:picLocks noChangeAspect="1" noChangeArrowheads="1"/>
                    </pic:cNvPicPr>
                  </pic:nvPicPr>
                  <pic:blipFill>
                    <a:blip r:embed="rId25"/>
                    <a:srcRect/>
                    <a:stretch>
                      <a:fillRect/>
                    </a:stretch>
                  </pic:blipFill>
                  <pic:spPr bwMode="auto">
                    <a:xfrm>
                      <a:off x="0" y="0"/>
                      <a:ext cx="8838769" cy="3733800"/>
                    </a:xfrm>
                    <a:prstGeom prst="rect">
                      <a:avLst/>
                    </a:prstGeom>
                    <a:noFill/>
                    <a:ln w="9525">
                      <a:noFill/>
                      <a:miter lim="800000"/>
                      <a:headEnd/>
                      <a:tailEnd/>
                    </a:ln>
                  </pic:spPr>
                </pic:pic>
              </a:graphicData>
            </a:graphic>
          </wp:inline>
        </w:drawing>
      </w:r>
    </w:p>
    <w:p w:rsidR="006D3A69" w:rsidRPr="006D3A69" w:rsidRDefault="006D3A69" w:rsidP="006D3A69"/>
    <w:p w:rsidR="00405AC7" w:rsidRPr="000B430A" w:rsidRDefault="000B430A" w:rsidP="00FF6A66">
      <w:pPr>
        <w:pStyle w:val="4"/>
        <w:rPr>
          <w:rFonts w:ascii="宋体" w:hAnsi="宋体"/>
          <w:color w:val="000000" w:themeColor="text1"/>
          <w:shd w:val="clear" w:color="auto" w:fill="FFFFFF"/>
        </w:rPr>
      </w:pPr>
      <w:bookmarkStart w:id="18" w:name="_Toc402948443"/>
      <w:r>
        <w:rPr>
          <w:rFonts w:ascii="宋体" w:hAnsi="宋体" w:hint="eastAsia"/>
          <w:color w:val="000000" w:themeColor="text1"/>
          <w:shd w:val="clear" w:color="auto" w:fill="FFFFFF"/>
        </w:rPr>
        <w:lastRenderedPageBreak/>
        <w:t>“</w:t>
      </w:r>
      <w:r w:rsidRPr="000B430A">
        <w:rPr>
          <w:rFonts w:ascii="宋体" w:hAnsi="宋体" w:hint="eastAsia"/>
          <w:color w:val="000000" w:themeColor="text1"/>
          <w:shd w:val="clear" w:color="auto" w:fill="FFFFFF"/>
        </w:rPr>
        <w:t>国发[2014]26号 国务院关于加快发展生产性服务业促进产业结构调整升级的指导意见</w:t>
      </w:r>
      <w:r>
        <w:rPr>
          <w:rFonts w:ascii="宋体" w:hAnsi="宋体" w:hint="eastAsia"/>
          <w:color w:val="000000" w:themeColor="text1"/>
          <w:shd w:val="clear" w:color="auto" w:fill="FFFFFF"/>
        </w:rPr>
        <w:t>”政策解读</w:t>
      </w:r>
      <w:bookmarkEnd w:id="18"/>
    </w:p>
    <w:p w:rsidR="000B430A" w:rsidRPr="00EC2F96" w:rsidRDefault="004D3E9A" w:rsidP="000B430A">
      <w:pPr>
        <w:pStyle w:val="a8"/>
        <w:shd w:val="clear" w:color="auto" w:fill="FFFFFF"/>
        <w:spacing w:before="150" w:beforeAutospacing="0" w:after="0" w:afterAutospacing="0" w:line="360" w:lineRule="auto"/>
        <w:rPr>
          <w:color w:val="000000" w:themeColor="text1"/>
        </w:rPr>
      </w:pPr>
      <w:r w:rsidRPr="00EC2F96">
        <w:rPr>
          <w:rFonts w:hint="eastAsia"/>
          <w:color w:val="000000" w:themeColor="text1"/>
        </w:rPr>
        <w:t xml:space="preserve">  </w:t>
      </w:r>
      <w:r w:rsidR="000B430A" w:rsidRPr="000B430A">
        <w:rPr>
          <w:noProof/>
          <w:color w:val="000000" w:themeColor="text1"/>
        </w:rPr>
        <w:drawing>
          <wp:inline distT="0" distB="0" distL="0" distR="0">
            <wp:extent cx="8702566" cy="4493172"/>
            <wp:effectExtent l="0" t="0" r="0" b="0"/>
            <wp:docPr id="54" name="对象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776075" cy="5422900"/>
                      <a:chOff x="593725" y="1435100"/>
                      <a:chExt cx="11776075" cy="5422900"/>
                    </a:xfrm>
                  </a:grpSpPr>
                  <a:sp>
                    <a:nvSpPr>
                      <a:cNvPr id="74754" name="灯片编号占位符 1"/>
                      <a:cNvSpPr>
                        <a:spLocks noGrp="1"/>
                      </a:cNvSpPr>
                    </a:nvSpPr>
                    <a:spPr bwMode="auto">
                      <a:xfrm>
                        <a:off x="3271838" y="6492875"/>
                        <a:ext cx="3276600" cy="365125"/>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defPPr>
                            <a:defRPr lang="zh-CN"/>
                          </a:defPPr>
                          <a:lvl1pPr algn="r" rtl="0" eaLnBrk="1" fontAlgn="base" hangingPunct="1">
                            <a:spcBef>
                              <a:spcPct val="0"/>
                            </a:spcBef>
                            <a:spcAft>
                              <a:spcPct val="0"/>
                            </a:spcAft>
                            <a:defRPr sz="1200" kern="1200">
                              <a:solidFill>
                                <a:srgbClr val="898989"/>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fld id="{F9C923CB-E122-48C4-A7EF-744B53D768AE}" type="slidenum">
                            <a:rPr lang="zh-CN" altLang="en-US" smtClean="0"/>
                            <a:pPr/>
                            <a:t>64</a:t>
                          </a:fld>
                          <a:endParaRPr lang="zh-CN" altLang="en-US" smtClean="0"/>
                        </a:p>
                      </a:txBody>
                      <a:useSpRect/>
                    </a:txSp>
                  </a:sp>
                  <a:grpSp>
                    <a:nvGrpSpPr>
                      <a:cNvPr id="74756" name="Group 5"/>
                      <a:cNvGrpSpPr>
                        <a:grpSpLocks/>
                      </a:cNvGrpSpPr>
                    </a:nvGrpSpPr>
                    <a:grpSpPr bwMode="auto">
                      <a:xfrm>
                        <a:off x="946150" y="2601913"/>
                        <a:ext cx="2736850" cy="3406775"/>
                        <a:chOff x="0" y="0"/>
                        <a:chExt cx="2736304" cy="4176024"/>
                      </a:xfrm>
                    </a:grpSpPr>
                    <a:sp>
                      <a:nvSpPr>
                        <a:cNvPr id="74779" name="矩形 17"/>
                        <a:cNvSpPr>
                          <a:spLocks noChangeArrowheads="1"/>
                        </a:cNvSpPr>
                      </a:nvSpPr>
                      <a:spPr bwMode="auto">
                        <a:xfrm>
                          <a:off x="0" y="216024"/>
                          <a:ext cx="2736304" cy="3960000"/>
                        </a:xfrm>
                        <a:prstGeom prst="rect">
                          <a:avLst/>
                        </a:prstGeom>
                        <a:solidFill>
                          <a:srgbClr val="538CD5"/>
                        </a:solidFill>
                        <a:ln w="25400">
                          <a:noFill/>
                          <a:bevel/>
                          <a:headEnd/>
                          <a:tailEnd/>
                        </a:ln>
                      </a:spPr>
                      <a:txSp>
                        <a:txBody>
                          <a:bodyPr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endParaRPr lang="zh-CN" altLang="zh-CN" sz="1600">
                              <a:solidFill>
                                <a:srgbClr val="FFFFFF"/>
                              </a:solidFill>
                              <a:latin typeface="微软雅黑" pitchFamily="34" charset="-122"/>
                              <a:ea typeface="微软雅黑" pitchFamily="34" charset="-122"/>
                              <a:sym typeface="宋体" pitchFamily="2" charset="-122"/>
                            </a:endParaRPr>
                          </a:p>
                        </a:txBody>
                        <a:useSpRect/>
                      </a:txSp>
                    </a:sp>
                    <a:sp>
                      <a:nvSpPr>
                        <a:cNvPr id="74780" name="圆角矩形 18"/>
                        <a:cNvSpPr>
                          <a:spLocks noChangeArrowheads="1"/>
                        </a:cNvSpPr>
                      </a:nvSpPr>
                      <a:spPr bwMode="auto">
                        <a:xfrm>
                          <a:off x="216024" y="413014"/>
                          <a:ext cx="2304256" cy="1064525"/>
                        </a:xfrm>
                        <a:prstGeom prst="roundRect">
                          <a:avLst>
                            <a:gd name="adj" fmla="val 16667"/>
                          </a:avLst>
                        </a:prstGeom>
                        <a:solidFill>
                          <a:schemeClr val="bg1"/>
                        </a:solidFill>
                        <a:ln w="25400">
                          <a:noFill/>
                          <a:bevel/>
                          <a:headEnd/>
                          <a:tailEnd/>
                        </a:ln>
                      </a:spPr>
                      <a:txSp>
                        <a:txBody>
                          <a:bodyPr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sz="1600">
                                <a:latin typeface="微软雅黑" pitchFamily="34" charset="-122"/>
                                <a:ea typeface="微软雅黑" pitchFamily="34" charset="-122"/>
                              </a:rPr>
                              <a:t>推荐农业生产和工业制造现代化；</a:t>
                            </a:r>
                          </a:p>
                        </a:txBody>
                        <a:useSpRect/>
                      </a:txSp>
                    </a:sp>
                    <a:sp>
                      <a:nvSpPr>
                        <a:cNvPr id="74781" name="圆角矩形 19"/>
                        <a:cNvSpPr>
                          <a:spLocks noChangeArrowheads="1"/>
                        </a:cNvSpPr>
                      </a:nvSpPr>
                      <a:spPr bwMode="auto">
                        <a:xfrm>
                          <a:off x="216024" y="1663762"/>
                          <a:ext cx="2304256" cy="1064525"/>
                        </a:xfrm>
                        <a:prstGeom prst="roundRect">
                          <a:avLst>
                            <a:gd name="adj" fmla="val 16667"/>
                          </a:avLst>
                        </a:prstGeom>
                        <a:solidFill>
                          <a:schemeClr val="bg1"/>
                        </a:solidFill>
                        <a:ln w="25400">
                          <a:noFill/>
                          <a:bevel/>
                          <a:headEnd/>
                          <a:tailEnd/>
                        </a:ln>
                      </a:spPr>
                      <a:txSp>
                        <a:txBody>
                          <a:bodyPr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sz="1600">
                                <a:latin typeface="微软雅黑" pitchFamily="34" charset="-122"/>
                                <a:ea typeface="微软雅黑" pitchFamily="34" charset="-122"/>
                              </a:rPr>
                              <a:t>加快生产制造与信息技术服务融合；</a:t>
                            </a:r>
                            <a:endParaRPr lang="en-US" altLang="zh-CN" sz="1600">
                              <a:latin typeface="微软雅黑" pitchFamily="34" charset="-122"/>
                              <a:ea typeface="微软雅黑" pitchFamily="34" charset="-122"/>
                            </a:endParaRPr>
                          </a:p>
                          <a:p>
                            <a:pPr eaLnBrk="0" hangingPunct="0"/>
                            <a:r>
                              <a:rPr lang="zh-CN" altLang="en-US" sz="1600">
                                <a:latin typeface="微软雅黑" pitchFamily="34" charset="-122"/>
                                <a:ea typeface="微软雅黑" pitchFamily="34" charset="-122"/>
                              </a:rPr>
                              <a:t>互联网、大数据</a:t>
                            </a:r>
                            <a:r>
                              <a:rPr lang="en-US" altLang="zh-CN" sz="1600">
                                <a:latin typeface="微软雅黑" pitchFamily="34" charset="-122"/>
                                <a:ea typeface="微软雅黑" pitchFamily="34" charset="-122"/>
                              </a:rPr>
                              <a:t>……</a:t>
                            </a:r>
                            <a:endParaRPr lang="zh-CN" altLang="en-US" sz="1600">
                              <a:latin typeface="微软雅黑" pitchFamily="34" charset="-122"/>
                              <a:ea typeface="微软雅黑" pitchFamily="34" charset="-122"/>
                            </a:endParaRPr>
                          </a:p>
                        </a:txBody>
                        <a:useSpRect/>
                      </a:txSp>
                    </a:sp>
                    <a:sp>
                      <a:nvSpPr>
                        <a:cNvPr id="74782" name="圆角矩形 20"/>
                        <a:cNvSpPr>
                          <a:spLocks noChangeArrowheads="1"/>
                        </a:cNvSpPr>
                      </a:nvSpPr>
                      <a:spPr bwMode="auto">
                        <a:xfrm>
                          <a:off x="216024" y="2914510"/>
                          <a:ext cx="2304256" cy="1064525"/>
                        </a:xfrm>
                        <a:prstGeom prst="roundRect">
                          <a:avLst>
                            <a:gd name="adj" fmla="val 16667"/>
                          </a:avLst>
                        </a:prstGeom>
                        <a:solidFill>
                          <a:schemeClr val="bg1"/>
                        </a:solidFill>
                        <a:ln w="25400">
                          <a:noFill/>
                          <a:bevel/>
                          <a:headEnd/>
                          <a:tailEnd/>
                        </a:ln>
                      </a:spPr>
                      <a:txSp>
                        <a:txBody>
                          <a:bodyPr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endParaRPr lang="en-US" altLang="zh-CN" sz="1600">
                              <a:latin typeface="微软雅黑" pitchFamily="34" charset="-122"/>
                              <a:ea typeface="微软雅黑" pitchFamily="34" charset="-122"/>
                            </a:endParaRPr>
                          </a:p>
                          <a:p>
                            <a:pPr eaLnBrk="0" hangingPunct="0"/>
                            <a:r>
                              <a:rPr lang="zh-CN" altLang="en-US" sz="1600">
                                <a:latin typeface="微软雅黑" pitchFamily="34" charset="-122"/>
                                <a:ea typeface="微软雅黑" pitchFamily="34" charset="-122"/>
                              </a:rPr>
                              <a:t>鼓励向价值链高端发展。</a:t>
                            </a:r>
                          </a:p>
                        </a:txBody>
                        <a:useSpRect/>
                      </a:txSp>
                    </a:sp>
                    <a:sp>
                      <a:nvSpPr>
                        <a:cNvPr id="74783" name="圆角矩形 22"/>
                        <a:cNvSpPr>
                          <a:spLocks noChangeArrowheads="1"/>
                        </a:cNvSpPr>
                      </a:nvSpPr>
                      <a:spPr bwMode="auto">
                        <a:xfrm>
                          <a:off x="72008" y="0"/>
                          <a:ext cx="2592288" cy="378824"/>
                        </a:xfrm>
                        <a:prstGeom prst="roundRect">
                          <a:avLst>
                            <a:gd name="adj" fmla="val 16667"/>
                          </a:avLst>
                        </a:prstGeom>
                        <a:solidFill>
                          <a:srgbClr val="538CD5"/>
                        </a:solidFill>
                        <a:ln w="25400">
                          <a:noFill/>
                          <a:bevel/>
                          <a:headEnd/>
                          <a:tailEnd/>
                        </a:ln>
                      </a:spPr>
                      <a:txSp>
                        <a:txBody>
                          <a:bodyPr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endParaRPr lang="zh-CN" altLang="zh-CN" sz="1600">
                              <a:solidFill>
                                <a:srgbClr val="FFFFFF"/>
                              </a:solidFill>
                              <a:latin typeface="微软雅黑" pitchFamily="34" charset="-122"/>
                              <a:ea typeface="微软雅黑" pitchFamily="34" charset="-122"/>
                              <a:sym typeface="宋体" pitchFamily="2" charset="-122"/>
                            </a:endParaRPr>
                          </a:p>
                        </a:txBody>
                        <a:useSpRect/>
                      </a:txSp>
                    </a:sp>
                  </a:grpSp>
                  <a:sp>
                    <a:nvSpPr>
                      <a:cNvPr id="74757" name="圆角矩形 16"/>
                      <a:cNvSpPr>
                        <a:spLocks noChangeArrowheads="1"/>
                      </a:cNvSpPr>
                    </a:nvSpPr>
                    <a:spPr bwMode="auto">
                      <a:xfrm>
                        <a:off x="593725" y="2190750"/>
                        <a:ext cx="1314450" cy="587375"/>
                      </a:xfrm>
                      <a:prstGeom prst="roundRect">
                        <a:avLst>
                          <a:gd name="adj" fmla="val 16667"/>
                        </a:avLst>
                      </a:prstGeom>
                      <a:solidFill>
                        <a:srgbClr val="8064A2"/>
                      </a:solidFill>
                      <a:ln w="38100">
                        <a:solidFill>
                          <a:srgbClr val="FFFFFF"/>
                        </a:solidFill>
                        <a:bevel/>
                        <a:headEnd/>
                        <a:tailEnd/>
                      </a:ln>
                    </a:spPr>
                    <a:txSp>
                      <a:txBody>
                        <a:bodyPr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sz="2000" b="1">
                              <a:solidFill>
                                <a:schemeClr val="bg1"/>
                              </a:solidFill>
                              <a:latin typeface="微软雅黑" pitchFamily="34" charset="-122"/>
                              <a:ea typeface="微软雅黑" pitchFamily="34" charset="-122"/>
                            </a:rPr>
                            <a:t>发展导向</a:t>
                          </a:r>
                        </a:p>
                      </a:txBody>
                      <a:useSpRect/>
                    </a:txSp>
                  </a:sp>
                  <a:sp>
                    <a:nvSpPr>
                      <a:cNvPr id="74758" name="右箭头 19"/>
                      <a:cNvSpPr>
                        <a:spLocks noChangeArrowheads="1"/>
                      </a:cNvSpPr>
                    </a:nvSpPr>
                    <a:spPr bwMode="auto">
                      <a:xfrm>
                        <a:off x="3979863" y="2987675"/>
                        <a:ext cx="930275" cy="2111375"/>
                      </a:xfrm>
                      <a:prstGeom prst="rightArrow">
                        <a:avLst>
                          <a:gd name="adj1" fmla="val 50000"/>
                          <a:gd name="adj2" fmla="val 50000"/>
                        </a:avLst>
                      </a:prstGeom>
                      <a:solidFill>
                        <a:srgbClr val="FFC00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endParaRPr lang="en-US" altLang="zh-CN" b="1">
                            <a:latin typeface="微软雅黑" pitchFamily="34" charset="-122"/>
                            <a:ea typeface="微软雅黑" pitchFamily="34" charset="-122"/>
                          </a:endParaRPr>
                        </a:p>
                      </a:txBody>
                      <a:useSpRect/>
                    </a:txSp>
                  </a:sp>
                  <a:cxnSp>
                    <a:nvCxnSpPr>
                      <a:cNvPr id="74759" name="直接连接符 21"/>
                      <a:cNvCxnSpPr>
                        <a:cxnSpLocks noChangeShapeType="1"/>
                        <a:stCxn id="74760" idx="2"/>
                      </a:cNvCxnSpPr>
                    </a:nvCxnSpPr>
                    <a:spPr bwMode="auto">
                      <a:xfrm flipH="1">
                        <a:off x="8274050" y="2022475"/>
                        <a:ext cx="0" cy="4056063"/>
                      </a:xfrm>
                      <a:prstGeom prst="line">
                        <a:avLst/>
                      </a:prstGeom>
                      <a:noFill/>
                      <a:ln w="22225" algn="ctr">
                        <a:solidFill>
                          <a:schemeClr val="tx1"/>
                        </a:solidFill>
                        <a:prstDash val="sysDash"/>
                        <a:round/>
                        <a:headEnd/>
                        <a:tailEnd/>
                      </a:ln>
                    </a:spPr>
                  </a:cxnSp>
                  <a:sp>
                    <a:nvSpPr>
                      <a:cNvPr id="74760" name="圆角矩形 16"/>
                      <a:cNvSpPr>
                        <a:spLocks noChangeArrowheads="1"/>
                      </a:cNvSpPr>
                    </a:nvSpPr>
                    <a:spPr bwMode="auto">
                      <a:xfrm>
                        <a:off x="7618413" y="1435100"/>
                        <a:ext cx="1312862" cy="587375"/>
                      </a:xfrm>
                      <a:prstGeom prst="roundRect">
                        <a:avLst>
                          <a:gd name="adj" fmla="val 16667"/>
                        </a:avLst>
                      </a:prstGeom>
                      <a:solidFill>
                        <a:srgbClr val="8064A2"/>
                      </a:solidFill>
                      <a:ln w="38100">
                        <a:solidFill>
                          <a:srgbClr val="FFFFFF"/>
                        </a:solidFill>
                        <a:bevel/>
                        <a:headEnd/>
                        <a:tailEnd/>
                      </a:ln>
                    </a:spPr>
                    <a:txSp>
                      <a:txBody>
                        <a:bodyPr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chemeClr val="bg1"/>
                              </a:solidFill>
                              <a:latin typeface="微软雅黑" pitchFamily="34" charset="-122"/>
                              <a:ea typeface="微软雅黑" pitchFamily="34" charset="-122"/>
                            </a:rPr>
                            <a:t>主要任务</a:t>
                          </a:r>
                        </a:p>
                      </a:txBody>
                      <a:useSpRect/>
                    </a:txSp>
                  </a:sp>
                  <a:sp>
                    <a:nvSpPr>
                      <a:cNvPr id="74761" name="椭圆 25"/>
                      <a:cNvSpPr>
                        <a:spLocks noChangeArrowheads="1"/>
                      </a:cNvSpPr>
                    </a:nvSpPr>
                    <a:spPr bwMode="auto">
                      <a:xfrm>
                        <a:off x="4822825" y="1825625"/>
                        <a:ext cx="520700" cy="566738"/>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1</a:t>
                          </a:r>
                          <a:endParaRPr lang="zh-CN" altLang="en-US" sz="1600" b="1">
                            <a:solidFill>
                              <a:schemeClr val="bg1"/>
                            </a:solidFill>
                            <a:latin typeface="微软雅黑" pitchFamily="34" charset="-122"/>
                            <a:ea typeface="微软雅黑" pitchFamily="34" charset="-122"/>
                          </a:endParaRPr>
                        </a:p>
                      </a:txBody>
                      <a:useSpRect/>
                    </a:txSp>
                  </a:sp>
                  <a:sp>
                    <a:nvSpPr>
                      <a:cNvPr id="74762" name="椭圆 26"/>
                      <a:cNvSpPr>
                        <a:spLocks noChangeArrowheads="1"/>
                      </a:cNvSpPr>
                    </a:nvSpPr>
                    <a:spPr bwMode="auto">
                      <a:xfrm>
                        <a:off x="4845050" y="2655888"/>
                        <a:ext cx="520700" cy="565150"/>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2</a:t>
                          </a:r>
                          <a:endParaRPr lang="zh-CN" altLang="en-US" sz="1600" b="1">
                            <a:solidFill>
                              <a:schemeClr val="bg1"/>
                            </a:solidFill>
                            <a:latin typeface="微软雅黑" pitchFamily="34" charset="-122"/>
                            <a:ea typeface="微软雅黑" pitchFamily="34" charset="-122"/>
                          </a:endParaRPr>
                        </a:p>
                      </a:txBody>
                      <a:useSpRect/>
                    </a:txSp>
                  </a:sp>
                  <a:sp>
                    <a:nvSpPr>
                      <a:cNvPr id="74763" name="椭圆 27"/>
                      <a:cNvSpPr>
                        <a:spLocks noChangeArrowheads="1"/>
                      </a:cNvSpPr>
                    </a:nvSpPr>
                    <a:spPr bwMode="auto">
                      <a:xfrm>
                        <a:off x="5233988" y="3676650"/>
                        <a:ext cx="520700" cy="565150"/>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3</a:t>
                          </a:r>
                          <a:endParaRPr lang="zh-CN" altLang="en-US" sz="1600" b="1">
                            <a:solidFill>
                              <a:schemeClr val="bg1"/>
                            </a:solidFill>
                            <a:latin typeface="微软雅黑" pitchFamily="34" charset="-122"/>
                            <a:ea typeface="微软雅黑" pitchFamily="34" charset="-122"/>
                          </a:endParaRPr>
                        </a:p>
                      </a:txBody>
                      <a:useSpRect/>
                    </a:txSp>
                  </a:sp>
                  <a:sp>
                    <a:nvSpPr>
                      <a:cNvPr id="74764" name="椭圆 28"/>
                      <a:cNvSpPr>
                        <a:spLocks noChangeArrowheads="1"/>
                      </a:cNvSpPr>
                    </a:nvSpPr>
                    <a:spPr bwMode="auto">
                      <a:xfrm>
                        <a:off x="4910138" y="4545013"/>
                        <a:ext cx="519112" cy="565150"/>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4</a:t>
                          </a:r>
                          <a:endParaRPr lang="zh-CN" altLang="en-US" sz="1600" b="1">
                            <a:solidFill>
                              <a:schemeClr val="bg1"/>
                            </a:solidFill>
                            <a:latin typeface="微软雅黑" pitchFamily="34" charset="-122"/>
                            <a:ea typeface="微软雅黑" pitchFamily="34" charset="-122"/>
                          </a:endParaRPr>
                        </a:p>
                      </a:txBody>
                      <a:useSpRect/>
                    </a:txSp>
                  </a:sp>
                  <a:sp>
                    <a:nvSpPr>
                      <a:cNvPr id="74765" name="椭圆 29"/>
                      <a:cNvSpPr>
                        <a:spLocks noChangeArrowheads="1"/>
                      </a:cNvSpPr>
                    </a:nvSpPr>
                    <a:spPr bwMode="auto">
                      <a:xfrm>
                        <a:off x="4475163" y="5473700"/>
                        <a:ext cx="519112" cy="565150"/>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5</a:t>
                          </a:r>
                          <a:endParaRPr lang="zh-CN" altLang="en-US" sz="1600" b="1">
                            <a:solidFill>
                              <a:schemeClr val="bg1"/>
                            </a:solidFill>
                            <a:latin typeface="微软雅黑" pitchFamily="34" charset="-122"/>
                            <a:ea typeface="微软雅黑" pitchFamily="34" charset="-122"/>
                          </a:endParaRPr>
                        </a:p>
                      </a:txBody>
                      <a:useSpRect/>
                    </a:txSp>
                  </a:sp>
                  <a:sp>
                    <a:nvSpPr>
                      <a:cNvPr id="74766" name="椭圆 31"/>
                      <a:cNvSpPr>
                        <a:spLocks noChangeArrowheads="1"/>
                      </a:cNvSpPr>
                    </a:nvSpPr>
                    <a:spPr bwMode="auto">
                      <a:xfrm>
                        <a:off x="8289925" y="5192713"/>
                        <a:ext cx="519113" cy="565150"/>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9</a:t>
                          </a:r>
                          <a:endParaRPr lang="zh-CN" altLang="en-US" sz="1600" b="1">
                            <a:solidFill>
                              <a:schemeClr val="bg1"/>
                            </a:solidFill>
                            <a:latin typeface="微软雅黑" pitchFamily="34" charset="-122"/>
                            <a:ea typeface="微软雅黑" pitchFamily="34" charset="-122"/>
                          </a:endParaRPr>
                        </a:p>
                      </a:txBody>
                      <a:useSpRect/>
                    </a:txSp>
                  </a:sp>
                  <a:sp>
                    <a:nvSpPr>
                      <a:cNvPr id="74767" name="椭圆 32"/>
                      <a:cNvSpPr>
                        <a:spLocks noChangeArrowheads="1"/>
                      </a:cNvSpPr>
                    </a:nvSpPr>
                    <a:spPr bwMode="auto">
                      <a:xfrm>
                        <a:off x="8375650" y="4043363"/>
                        <a:ext cx="520700" cy="565150"/>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8</a:t>
                          </a:r>
                          <a:endParaRPr lang="zh-CN" altLang="en-US" sz="1600" b="1">
                            <a:solidFill>
                              <a:schemeClr val="bg1"/>
                            </a:solidFill>
                            <a:latin typeface="微软雅黑" pitchFamily="34" charset="-122"/>
                            <a:ea typeface="微软雅黑" pitchFamily="34" charset="-122"/>
                          </a:endParaRPr>
                        </a:p>
                      </a:txBody>
                      <a:useSpRect/>
                    </a:txSp>
                  </a:sp>
                  <a:sp>
                    <a:nvSpPr>
                      <a:cNvPr id="74768" name="椭圆 33"/>
                      <a:cNvSpPr>
                        <a:spLocks noChangeArrowheads="1"/>
                      </a:cNvSpPr>
                    </a:nvSpPr>
                    <a:spPr bwMode="auto">
                      <a:xfrm>
                        <a:off x="8410575" y="3040063"/>
                        <a:ext cx="520700" cy="565150"/>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7</a:t>
                          </a:r>
                          <a:endParaRPr lang="zh-CN" altLang="en-US" sz="1600" b="1">
                            <a:solidFill>
                              <a:schemeClr val="bg1"/>
                            </a:solidFill>
                            <a:latin typeface="微软雅黑" pitchFamily="34" charset="-122"/>
                            <a:ea typeface="微软雅黑" pitchFamily="34" charset="-122"/>
                          </a:endParaRPr>
                        </a:p>
                      </a:txBody>
                      <a:useSpRect/>
                    </a:txSp>
                  </a:sp>
                  <a:sp>
                    <a:nvSpPr>
                      <a:cNvPr id="74769" name="椭圆 34"/>
                      <a:cNvSpPr>
                        <a:spLocks noChangeArrowheads="1"/>
                      </a:cNvSpPr>
                    </a:nvSpPr>
                    <a:spPr bwMode="auto">
                      <a:xfrm>
                        <a:off x="8561388" y="2159000"/>
                        <a:ext cx="520700" cy="565150"/>
                      </a:xfrm>
                      <a:prstGeom prst="ellipse">
                        <a:avLst/>
                      </a:prstGeom>
                      <a:solidFill>
                        <a:srgbClr val="00B050"/>
                      </a:solidFill>
                      <a:ln w="9525" algn="ctr">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en-US" altLang="zh-CN" sz="1600" b="1">
                              <a:solidFill>
                                <a:schemeClr val="bg1"/>
                              </a:solidFill>
                              <a:latin typeface="微软雅黑" pitchFamily="34" charset="-122"/>
                              <a:ea typeface="微软雅黑" pitchFamily="34" charset="-122"/>
                            </a:rPr>
                            <a:t>6</a:t>
                          </a:r>
                          <a:endParaRPr lang="zh-CN" altLang="en-US" sz="1600" b="1">
                            <a:solidFill>
                              <a:schemeClr val="bg1"/>
                            </a:solidFill>
                            <a:latin typeface="微软雅黑" pitchFamily="34" charset="-122"/>
                            <a:ea typeface="微软雅黑" pitchFamily="34" charset="-122"/>
                          </a:endParaRPr>
                        </a:p>
                      </a:txBody>
                      <a:useSpRect/>
                    </a:txSp>
                  </a:sp>
                  <a:sp>
                    <a:nvSpPr>
                      <a:cNvPr id="74770" name="TextBox 35"/>
                      <a:cNvSpPr txBox="1">
                        <a:spLocks noChangeArrowheads="1"/>
                      </a:cNvSpPr>
                    </a:nvSpPr>
                    <a:spPr bwMode="auto">
                      <a:xfrm>
                        <a:off x="5343525" y="1728788"/>
                        <a:ext cx="2492375" cy="682625"/>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研发设计</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发展研究设计交易市场；</a:t>
                          </a:r>
                        </a:p>
                      </a:txBody>
                      <a:useSpRect/>
                    </a:txSp>
                  </a:sp>
                  <a:sp>
                    <a:nvSpPr>
                      <a:cNvPr id="74771" name="TextBox 36"/>
                      <a:cNvSpPr txBox="1">
                        <a:spLocks noChangeArrowheads="1"/>
                      </a:cNvSpPr>
                    </a:nvSpPr>
                    <a:spPr bwMode="auto">
                      <a:xfrm>
                        <a:off x="5386388" y="2497138"/>
                        <a:ext cx="2963862" cy="979487"/>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第三方物流</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推进云计算、物联网、北斗导航等技术的应用；</a:t>
                          </a:r>
                        </a:p>
                      </a:txBody>
                      <a:useSpRect/>
                    </a:txSp>
                  </a:sp>
                  <a:sp>
                    <a:nvSpPr>
                      <a:cNvPr id="74772" name="TextBox 38"/>
                      <a:cNvSpPr txBox="1">
                        <a:spLocks noChangeArrowheads="1"/>
                      </a:cNvSpPr>
                    </a:nvSpPr>
                    <a:spPr bwMode="auto">
                      <a:xfrm>
                        <a:off x="5721350" y="3605213"/>
                        <a:ext cx="2595563" cy="979487"/>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融资租赁</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鼓励融资租赁企业支持中小微企业；</a:t>
                          </a:r>
                        </a:p>
                      </a:txBody>
                      <a:useSpRect/>
                    </a:txSp>
                  </a:sp>
                  <a:sp>
                    <a:nvSpPr>
                      <a:cNvPr id="74773" name="TextBox 39"/>
                      <a:cNvSpPr txBox="1">
                        <a:spLocks noChangeArrowheads="1"/>
                      </a:cNvSpPr>
                    </a:nvSpPr>
                    <a:spPr bwMode="auto">
                      <a:xfrm>
                        <a:off x="5611813" y="4608513"/>
                        <a:ext cx="2460625" cy="684212"/>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信息技术服务</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加强相关软件研发；</a:t>
                          </a:r>
                        </a:p>
                      </a:txBody>
                      <a:useSpRect/>
                    </a:txSp>
                  </a:sp>
                  <a:sp>
                    <a:nvSpPr>
                      <a:cNvPr id="74774" name="TextBox 40"/>
                      <a:cNvSpPr txBox="1">
                        <a:spLocks noChangeArrowheads="1"/>
                      </a:cNvSpPr>
                    </a:nvSpPr>
                    <a:spPr bwMode="auto">
                      <a:xfrm>
                        <a:off x="5170488" y="5416550"/>
                        <a:ext cx="2901950" cy="682625"/>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节能环保服务</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推行环境污染第三方处理；</a:t>
                          </a:r>
                        </a:p>
                      </a:txBody>
                      <a:useSpRect/>
                    </a:txSp>
                  </a:sp>
                  <a:sp>
                    <a:nvSpPr>
                      <a:cNvPr id="74775" name="TextBox 41"/>
                      <a:cNvSpPr txBox="1">
                        <a:spLocks noChangeArrowheads="1"/>
                      </a:cNvSpPr>
                    </a:nvSpPr>
                    <a:spPr bwMode="auto">
                      <a:xfrm>
                        <a:off x="9109075" y="2065338"/>
                        <a:ext cx="3260725" cy="684212"/>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检验检测认证</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开拓电子商务等服务认证领域；</a:t>
                          </a:r>
                        </a:p>
                      </a:txBody>
                      <a:useSpRect/>
                    </a:txSp>
                  </a:sp>
                  <a:sp>
                    <a:nvSpPr>
                      <a:cNvPr id="74776" name="TextBox 42"/>
                      <a:cNvSpPr txBox="1">
                        <a:spLocks noChangeArrowheads="1"/>
                      </a:cNvSpPr>
                    </a:nvSpPr>
                    <a:spPr bwMode="auto">
                      <a:xfrm>
                        <a:off x="8974138" y="2968625"/>
                        <a:ext cx="3260725" cy="1274763"/>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电子商务</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加快推进适应电子合同、电子发票等制度建设；</a:t>
                          </a:r>
                          <a:endParaRPr lang="en-US" altLang="zh-CN" sz="1600">
                            <a:latin typeface="微软雅黑" pitchFamily="34" charset="-122"/>
                            <a:ea typeface="微软雅黑" pitchFamily="34" charset="-122"/>
                          </a:endParaRPr>
                        </a:p>
                        <a:p>
                          <a:pPr eaLnBrk="0" hangingPunct="0">
                            <a:lnSpc>
                              <a:spcPct val="120000"/>
                            </a:lnSpc>
                          </a:pPr>
                          <a:endParaRPr lang="zh-CN" altLang="en-US" sz="1600">
                            <a:latin typeface="微软雅黑" pitchFamily="34" charset="-122"/>
                            <a:ea typeface="微软雅黑" pitchFamily="34" charset="-122"/>
                          </a:endParaRPr>
                        </a:p>
                      </a:txBody>
                      <a:useSpRect/>
                    </a:txSp>
                  </a:sp>
                  <a:sp>
                    <a:nvSpPr>
                      <a:cNvPr id="74777" name="TextBox 43"/>
                      <a:cNvSpPr txBox="1">
                        <a:spLocks noChangeArrowheads="1"/>
                      </a:cNvSpPr>
                    </a:nvSpPr>
                    <a:spPr bwMode="auto">
                      <a:xfrm>
                        <a:off x="8896350" y="4016375"/>
                        <a:ext cx="3295650" cy="979488"/>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服务外包</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引导社会资本发展信息技术外包、业务流程外包和知识流程外包；</a:t>
                          </a:r>
                        </a:p>
                      </a:txBody>
                      <a:useSpRect/>
                    </a:txSp>
                  </a:sp>
                  <a:sp>
                    <a:nvSpPr>
                      <a:cNvPr id="74778" name="TextBox 44"/>
                      <a:cNvSpPr txBox="1">
                        <a:spLocks noChangeArrowheads="1"/>
                      </a:cNvSpPr>
                    </a:nvSpPr>
                    <a:spPr bwMode="auto">
                      <a:xfrm>
                        <a:off x="8931275" y="5099050"/>
                        <a:ext cx="3082925" cy="979488"/>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lnSpc>
                              <a:spcPct val="120000"/>
                            </a:lnSpc>
                          </a:pPr>
                          <a:r>
                            <a:rPr lang="zh-CN" altLang="en-US" sz="1600" b="1">
                              <a:solidFill>
                                <a:srgbClr val="0070C0"/>
                              </a:solidFill>
                              <a:latin typeface="微软雅黑" pitchFamily="34" charset="-122"/>
                              <a:ea typeface="微软雅黑" pitchFamily="34" charset="-122"/>
                            </a:rPr>
                            <a:t>售后服务</a:t>
                          </a:r>
                          <a:endParaRPr lang="en-US" altLang="zh-CN" sz="1600" b="1">
                            <a:solidFill>
                              <a:srgbClr val="0070C0"/>
                            </a:solidFill>
                            <a:latin typeface="微软雅黑" pitchFamily="34" charset="-122"/>
                            <a:ea typeface="微软雅黑" pitchFamily="34" charset="-122"/>
                          </a:endParaRPr>
                        </a:p>
                        <a:p>
                          <a:pPr eaLnBrk="0" hangingPunct="0">
                            <a:lnSpc>
                              <a:spcPct val="120000"/>
                            </a:lnSpc>
                          </a:pPr>
                          <a:r>
                            <a:rPr lang="zh-CN" altLang="en-US" sz="1600">
                              <a:latin typeface="微软雅黑" pitchFamily="34" charset="-122"/>
                              <a:ea typeface="微软雅黑" pitchFamily="34" charset="-122"/>
                            </a:rPr>
                            <a:t>积极发展专业化、社会化的第三方维护维修服务；</a:t>
                          </a:r>
                        </a:p>
                      </a:txBody>
                      <a:useSpRect/>
                    </a:txSp>
                  </a:sp>
                </lc:lockedCanvas>
              </a:graphicData>
            </a:graphic>
          </wp:inline>
        </w:drawing>
      </w:r>
    </w:p>
    <w:p w:rsidR="004D3E9A" w:rsidRPr="00EC2F96" w:rsidRDefault="004D3E9A" w:rsidP="00EC2F96">
      <w:pPr>
        <w:pStyle w:val="a8"/>
        <w:shd w:val="clear" w:color="auto" w:fill="FFFFFF"/>
        <w:spacing w:before="150" w:beforeAutospacing="0" w:after="0" w:afterAutospacing="0" w:line="360" w:lineRule="auto"/>
        <w:rPr>
          <w:color w:val="000000" w:themeColor="text1"/>
        </w:rPr>
      </w:pPr>
    </w:p>
    <w:p w:rsidR="006D3A69" w:rsidRPr="006D3A69" w:rsidRDefault="006D3A69" w:rsidP="006D3A69">
      <w:pPr>
        <w:spacing w:line="480" w:lineRule="auto"/>
        <w:rPr>
          <w:rFonts w:asciiTheme="majorEastAsia" w:eastAsiaTheme="majorEastAsia" w:hAnsiTheme="majorEastAsia"/>
          <w:b/>
          <w:sz w:val="28"/>
          <w:szCs w:val="28"/>
        </w:rPr>
      </w:pPr>
    </w:p>
    <w:p w:rsidR="00405AC7" w:rsidRDefault="006D3A69" w:rsidP="00EC2F96">
      <w:pPr>
        <w:pStyle w:val="4"/>
        <w:spacing w:line="360" w:lineRule="auto"/>
        <w:rPr>
          <w:rFonts w:asciiTheme="majorEastAsia" w:eastAsiaTheme="majorEastAsia" w:hAnsiTheme="majorEastAsia"/>
        </w:rPr>
      </w:pPr>
      <w:bookmarkStart w:id="19" w:name="_Toc402948444"/>
      <w:r w:rsidRPr="006D3A69">
        <w:rPr>
          <w:rFonts w:asciiTheme="majorEastAsia" w:eastAsiaTheme="majorEastAsia" w:hAnsiTheme="majorEastAsia" w:hint="eastAsia"/>
        </w:rPr>
        <w:lastRenderedPageBreak/>
        <w:t>“教高[2014]2号 教育部 商务部关于创新服务外包人才培养机制提升服务外包产业发展能力的意见”政策解读</w:t>
      </w:r>
      <w:bookmarkEnd w:id="19"/>
    </w:p>
    <w:p w:rsidR="006D3A69" w:rsidRPr="006D3A69" w:rsidRDefault="006D3A69" w:rsidP="006D3A69">
      <w:pPr>
        <w:widowControl/>
        <w:jc w:val="left"/>
        <w:rPr>
          <w:rFonts w:ascii="宋体" w:hAnsi="宋体" w:cs="宋体"/>
          <w:kern w:val="0"/>
          <w:szCs w:val="24"/>
        </w:rPr>
      </w:pPr>
      <w:r>
        <w:rPr>
          <w:rFonts w:ascii="宋体" w:hAnsi="宋体" w:cs="宋体"/>
          <w:noProof/>
          <w:kern w:val="0"/>
          <w:szCs w:val="24"/>
        </w:rPr>
        <w:drawing>
          <wp:inline distT="0" distB="0" distL="0" distR="0">
            <wp:extent cx="9077653" cy="3971473"/>
            <wp:effectExtent l="19050" t="0" r="9197" b="0"/>
            <wp:docPr id="56" name="图片 50" descr="C:\Users\User\AppData\Roaming\Tencent\Users\523707068\QQ\WinTemp\RichOle\L4UU_5`62X[NZ(T[3GIBD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Roaming\Tencent\Users\523707068\QQ\WinTemp\RichOle\L4UU_5`62X[NZ(T[3GIBDLU.jpg"/>
                    <pic:cNvPicPr>
                      <a:picLocks noChangeAspect="1" noChangeArrowheads="1"/>
                    </pic:cNvPicPr>
                  </pic:nvPicPr>
                  <pic:blipFill>
                    <a:blip r:embed="rId26"/>
                    <a:srcRect/>
                    <a:stretch>
                      <a:fillRect/>
                    </a:stretch>
                  </pic:blipFill>
                  <pic:spPr bwMode="auto">
                    <a:xfrm>
                      <a:off x="0" y="0"/>
                      <a:ext cx="9094489" cy="3978839"/>
                    </a:xfrm>
                    <a:prstGeom prst="rect">
                      <a:avLst/>
                    </a:prstGeom>
                    <a:noFill/>
                    <a:ln w="9525">
                      <a:noFill/>
                      <a:miter lim="800000"/>
                      <a:headEnd/>
                      <a:tailEnd/>
                    </a:ln>
                  </pic:spPr>
                </pic:pic>
              </a:graphicData>
            </a:graphic>
          </wp:inline>
        </w:drawing>
      </w:r>
    </w:p>
    <w:p w:rsidR="006D3A69" w:rsidRPr="006D3A69" w:rsidRDefault="006D3A69" w:rsidP="006D3A69"/>
    <w:p w:rsidR="00FC3474" w:rsidRDefault="00FC3474" w:rsidP="00C97FDA">
      <w:pPr>
        <w:rPr>
          <w:rFonts w:ascii="黑体" w:eastAsia="黑体"/>
          <w:b/>
          <w:bCs/>
          <w:color w:val="333399"/>
          <w:sz w:val="30"/>
          <w:szCs w:val="30"/>
          <w:shd w:val="pct15" w:color="auto" w:fill="FFFFFF"/>
        </w:rPr>
      </w:pPr>
    </w:p>
    <w:p w:rsidR="00FC3474" w:rsidRDefault="00FC3474" w:rsidP="00C97FDA">
      <w:pPr>
        <w:rPr>
          <w:rFonts w:ascii="黑体" w:eastAsia="黑体"/>
          <w:b/>
          <w:bCs/>
          <w:color w:val="333399"/>
          <w:sz w:val="30"/>
          <w:szCs w:val="30"/>
          <w:shd w:val="pct15" w:color="auto" w:fill="FFFFFF"/>
        </w:rPr>
      </w:pPr>
    </w:p>
    <w:p w:rsidR="00405AC7" w:rsidRPr="004109EC" w:rsidRDefault="00405AC7" w:rsidP="00C97FDA">
      <w:pPr>
        <w:rPr>
          <w:rFonts w:ascii="黑体" w:eastAsia="黑体"/>
          <w:bCs/>
          <w:color w:val="333399"/>
          <w:sz w:val="30"/>
          <w:szCs w:val="30"/>
          <w:shd w:val="clear" w:color="auto" w:fill="FFFFFF"/>
        </w:rPr>
      </w:pPr>
      <w:r w:rsidRPr="004109EC">
        <w:rPr>
          <w:rFonts w:ascii="黑体" w:eastAsia="黑体" w:hint="eastAsia"/>
          <w:b/>
          <w:bCs/>
          <w:color w:val="333399"/>
          <w:sz w:val="30"/>
          <w:szCs w:val="30"/>
          <w:shd w:val="pct15" w:color="auto" w:fill="FFFFFF"/>
        </w:rPr>
        <w:lastRenderedPageBreak/>
        <w:t>产</w:t>
      </w:r>
      <w:r w:rsidRPr="004109EC">
        <w:rPr>
          <w:rFonts w:ascii="黑体" w:eastAsia="黑体"/>
          <w:b/>
          <w:bCs/>
          <w:color w:val="333399"/>
          <w:sz w:val="30"/>
          <w:szCs w:val="30"/>
          <w:shd w:val="pct15" w:color="auto" w:fill="FFFFFF"/>
        </w:rPr>
        <w:t xml:space="preserve"> </w:t>
      </w:r>
      <w:r w:rsidRPr="004109EC">
        <w:rPr>
          <w:rFonts w:ascii="黑体" w:eastAsia="黑体" w:hint="eastAsia"/>
          <w:b/>
          <w:bCs/>
          <w:color w:val="333399"/>
          <w:sz w:val="30"/>
          <w:szCs w:val="30"/>
          <w:shd w:val="pct15" w:color="auto" w:fill="FFFFFF"/>
        </w:rPr>
        <w:t>业</w:t>
      </w:r>
      <w:r w:rsidRPr="004109EC">
        <w:rPr>
          <w:rFonts w:ascii="黑体" w:eastAsia="黑体"/>
          <w:b/>
          <w:bCs/>
          <w:color w:val="333399"/>
          <w:sz w:val="30"/>
          <w:szCs w:val="30"/>
          <w:shd w:val="pct15" w:color="auto" w:fill="FFFFFF"/>
        </w:rPr>
        <w:t xml:space="preserve"> </w:t>
      </w:r>
      <w:r w:rsidRPr="004109EC">
        <w:rPr>
          <w:rFonts w:ascii="黑体" w:eastAsia="黑体" w:hint="eastAsia"/>
          <w:b/>
          <w:bCs/>
          <w:color w:val="333399"/>
          <w:sz w:val="30"/>
          <w:szCs w:val="30"/>
          <w:shd w:val="pct15" w:color="auto" w:fill="FFFFFF"/>
        </w:rPr>
        <w:t>资</w:t>
      </w:r>
      <w:r w:rsidRPr="004109EC">
        <w:rPr>
          <w:rFonts w:ascii="黑体" w:eastAsia="黑体"/>
          <w:b/>
          <w:bCs/>
          <w:color w:val="333399"/>
          <w:sz w:val="30"/>
          <w:szCs w:val="30"/>
          <w:shd w:val="pct15" w:color="auto" w:fill="FFFFFF"/>
        </w:rPr>
        <w:t xml:space="preserve"> </w:t>
      </w:r>
      <w:r w:rsidRPr="004109EC">
        <w:rPr>
          <w:rFonts w:ascii="黑体" w:eastAsia="黑体" w:hint="eastAsia"/>
          <w:b/>
          <w:bCs/>
          <w:color w:val="333399"/>
          <w:sz w:val="30"/>
          <w:szCs w:val="30"/>
          <w:shd w:val="pct15" w:color="auto" w:fill="FFFFFF"/>
        </w:rPr>
        <w:t>讯</w:t>
      </w:r>
    </w:p>
    <w:p w:rsidR="00052A38" w:rsidRPr="00052A38" w:rsidRDefault="00052A38" w:rsidP="00052A38">
      <w:pPr>
        <w:pStyle w:val="4"/>
        <w:rPr>
          <w:rFonts w:ascii="微软雅黑" w:eastAsia="微软雅黑" w:hAnsi="微软雅黑" w:cs="宋体"/>
          <w:color w:val="000000"/>
          <w:kern w:val="36"/>
        </w:rPr>
      </w:pPr>
      <w:bookmarkStart w:id="20" w:name="_Toc402948445"/>
      <w:bookmarkStart w:id="21" w:name="_Ref398559435"/>
      <w:r w:rsidRPr="00052A38">
        <w:rPr>
          <w:rFonts w:ascii="微软雅黑" w:eastAsia="微软雅黑" w:hAnsi="微软雅黑" w:cs="宋体" w:hint="eastAsia"/>
          <w:color w:val="000000"/>
          <w:kern w:val="36"/>
        </w:rPr>
        <w:t>前三季度中国服务外包合同金额同比增长26.3%</w:t>
      </w:r>
      <w:bookmarkEnd w:id="20"/>
    </w:p>
    <w:bookmarkEnd w:id="21"/>
    <w:p w:rsidR="00052A38" w:rsidRPr="00052A38" w:rsidRDefault="00052A38" w:rsidP="00052A38">
      <w:pPr>
        <w:spacing w:line="360" w:lineRule="auto"/>
        <w:rPr>
          <w:rFonts w:asciiTheme="majorEastAsia" w:eastAsiaTheme="majorEastAsia" w:hAnsiTheme="majorEastAsia" w:cs="宋体"/>
          <w:color w:val="000000" w:themeColor="text1"/>
          <w:kern w:val="0"/>
          <w:szCs w:val="24"/>
        </w:rPr>
      </w:pPr>
      <w:r>
        <w:rPr>
          <w:rFonts w:asciiTheme="majorEastAsia" w:eastAsiaTheme="majorEastAsia" w:hAnsiTheme="majorEastAsia" w:cs="宋体" w:hint="eastAsia"/>
          <w:color w:val="000000" w:themeColor="text1"/>
          <w:kern w:val="0"/>
          <w:szCs w:val="24"/>
        </w:rPr>
        <w:t xml:space="preserve">    </w:t>
      </w:r>
      <w:r w:rsidRPr="00052A38">
        <w:rPr>
          <w:rFonts w:asciiTheme="majorEastAsia" w:eastAsiaTheme="majorEastAsia" w:hAnsiTheme="majorEastAsia" w:cs="宋体" w:hint="eastAsia"/>
          <w:color w:val="000000" w:themeColor="text1"/>
          <w:kern w:val="0"/>
          <w:szCs w:val="24"/>
        </w:rPr>
        <w:t>商务部今日召开例行新闻发布会，介绍前三季度商务运行情况。商务部新闻发言人沈丹阳在会上介绍，2014年前三季度，我国共签订服务外包合同134319份，合同金额和执行金额分别为733.9亿美元和545.2亿美元，同比分别增长26.3%和32%。</w:t>
      </w:r>
    </w:p>
    <w:p w:rsidR="00052A38" w:rsidRPr="00052A38" w:rsidRDefault="00052A38" w:rsidP="00052A38">
      <w:pPr>
        <w:spacing w:line="360" w:lineRule="auto"/>
        <w:rPr>
          <w:rFonts w:asciiTheme="majorEastAsia" w:eastAsiaTheme="majorEastAsia" w:hAnsiTheme="majorEastAsia" w:cs="宋体"/>
          <w:color w:val="000000" w:themeColor="text1"/>
          <w:kern w:val="0"/>
          <w:szCs w:val="24"/>
        </w:rPr>
      </w:pPr>
      <w:r>
        <w:rPr>
          <w:rFonts w:asciiTheme="majorEastAsia" w:eastAsiaTheme="majorEastAsia" w:hAnsiTheme="majorEastAsia" w:cs="宋体" w:hint="eastAsia"/>
          <w:color w:val="000000" w:themeColor="text1"/>
          <w:kern w:val="0"/>
          <w:szCs w:val="24"/>
        </w:rPr>
        <w:t xml:space="preserve">    </w:t>
      </w:r>
      <w:r w:rsidRPr="00052A38">
        <w:rPr>
          <w:rFonts w:asciiTheme="majorEastAsia" w:eastAsiaTheme="majorEastAsia" w:hAnsiTheme="majorEastAsia" w:cs="宋体" w:hint="eastAsia"/>
          <w:color w:val="000000" w:themeColor="text1"/>
          <w:kern w:val="0"/>
          <w:szCs w:val="24"/>
        </w:rPr>
        <w:t>沈丹阳指出，服务外包的主要特点有：一是在岸服务外包增速加快。前三季度，我国承接离岸服务外包合同金额和执行金额分别为481.6亿美元和370.7亿美元，同比分别增长18.6%和27.6%；在岸服务外包合同金额和执行金额分别为252.3亿美元和174.5亿美元，同比分别增长44.4%和42.6%。在岸服务外包增速加快，主要是由于国内产业结构调整升级，促进服务的专业化和信息化水平提高，释放大量服务外包业务。</w:t>
      </w:r>
    </w:p>
    <w:p w:rsidR="00052A38" w:rsidRPr="00052A38" w:rsidRDefault="00052A38" w:rsidP="00052A38">
      <w:pPr>
        <w:spacing w:line="360" w:lineRule="auto"/>
        <w:rPr>
          <w:rFonts w:asciiTheme="majorEastAsia" w:eastAsiaTheme="majorEastAsia" w:hAnsiTheme="majorEastAsia" w:cs="宋体"/>
          <w:color w:val="000000" w:themeColor="text1"/>
          <w:kern w:val="0"/>
          <w:szCs w:val="24"/>
        </w:rPr>
      </w:pPr>
      <w:r>
        <w:rPr>
          <w:rFonts w:asciiTheme="majorEastAsia" w:eastAsiaTheme="majorEastAsia" w:hAnsiTheme="majorEastAsia" w:cs="宋体" w:hint="eastAsia"/>
          <w:color w:val="000000" w:themeColor="text1"/>
          <w:kern w:val="0"/>
          <w:szCs w:val="24"/>
        </w:rPr>
        <w:t xml:space="preserve">    </w:t>
      </w:r>
      <w:r w:rsidRPr="00052A38">
        <w:rPr>
          <w:rFonts w:asciiTheme="majorEastAsia" w:eastAsiaTheme="majorEastAsia" w:hAnsiTheme="majorEastAsia" w:cs="宋体" w:hint="eastAsia"/>
          <w:color w:val="000000" w:themeColor="text1"/>
          <w:kern w:val="0"/>
          <w:szCs w:val="24"/>
        </w:rPr>
        <w:t>二是美、欧、港、日为国际服务的主要发包市场。前三季度，我国承接美国、欧盟、中国香港和日本的离岸服务外包执行金额分别为85.5亿美元、53.6亿美元、51.9亿美元和38.6亿美元，合计为229.6</w:t>
      </w:r>
      <w:r w:rsidR="002348A0" w:rsidRPr="00052A38">
        <w:rPr>
          <w:rFonts w:asciiTheme="majorEastAsia" w:eastAsiaTheme="majorEastAsia" w:hAnsiTheme="majorEastAsia" w:cs="宋体" w:hint="eastAsia"/>
          <w:color w:val="000000" w:themeColor="text1"/>
          <w:kern w:val="0"/>
          <w:szCs w:val="24"/>
        </w:rPr>
        <w:t>亿</w:t>
      </w:r>
      <w:r w:rsidRPr="00052A38">
        <w:rPr>
          <w:rFonts w:asciiTheme="majorEastAsia" w:eastAsiaTheme="majorEastAsia" w:hAnsiTheme="majorEastAsia" w:cs="宋体" w:hint="eastAsia"/>
          <w:color w:val="000000" w:themeColor="text1"/>
          <w:kern w:val="0"/>
          <w:szCs w:val="24"/>
        </w:rPr>
        <w:t>美元，占执行总额的62%。</w:t>
      </w:r>
    </w:p>
    <w:p w:rsidR="00052A38" w:rsidRPr="00052A38" w:rsidRDefault="00052A38" w:rsidP="00052A38">
      <w:pPr>
        <w:spacing w:line="360" w:lineRule="auto"/>
        <w:rPr>
          <w:rFonts w:asciiTheme="majorEastAsia" w:eastAsiaTheme="majorEastAsia" w:hAnsiTheme="majorEastAsia" w:cs="宋体"/>
          <w:color w:val="000000" w:themeColor="text1"/>
          <w:kern w:val="0"/>
          <w:szCs w:val="24"/>
        </w:rPr>
      </w:pPr>
      <w:r>
        <w:rPr>
          <w:rFonts w:asciiTheme="majorEastAsia" w:eastAsiaTheme="majorEastAsia" w:hAnsiTheme="majorEastAsia" w:cs="宋体" w:hint="eastAsia"/>
          <w:color w:val="000000" w:themeColor="text1"/>
          <w:kern w:val="0"/>
          <w:szCs w:val="24"/>
        </w:rPr>
        <w:t xml:space="preserve">    </w:t>
      </w:r>
      <w:r w:rsidRPr="00052A38">
        <w:rPr>
          <w:rFonts w:asciiTheme="majorEastAsia" w:eastAsiaTheme="majorEastAsia" w:hAnsiTheme="majorEastAsia" w:cs="宋体" w:hint="eastAsia"/>
          <w:color w:val="000000" w:themeColor="text1"/>
          <w:kern w:val="0"/>
          <w:szCs w:val="24"/>
        </w:rPr>
        <w:t>三是服务外包就业规模稳步扩大。前三季度，我国服务外包新增从业人员54.9万人，其中大学(含大专)以上学历38.1万人，占从业人员总数69.5%。截至2014年9月底，我国共有服务外包企业27163家，从业人员591万人，其中大学(含大专)以上学历394万人，占从业人员总数66.7%。</w:t>
      </w:r>
    </w:p>
    <w:p w:rsidR="00052A38" w:rsidRPr="00052A38" w:rsidRDefault="00052A38" w:rsidP="00052A38">
      <w:pPr>
        <w:spacing w:line="360" w:lineRule="auto"/>
        <w:rPr>
          <w:rFonts w:asciiTheme="majorEastAsia" w:eastAsiaTheme="majorEastAsia" w:hAnsiTheme="majorEastAsia" w:cs="宋体"/>
          <w:color w:val="000000" w:themeColor="text1"/>
          <w:kern w:val="0"/>
          <w:szCs w:val="24"/>
        </w:rPr>
      </w:pPr>
      <w:r>
        <w:rPr>
          <w:rFonts w:asciiTheme="majorEastAsia" w:eastAsiaTheme="majorEastAsia" w:hAnsiTheme="majorEastAsia" w:cs="宋体" w:hint="eastAsia"/>
          <w:color w:val="000000" w:themeColor="text1"/>
          <w:kern w:val="0"/>
          <w:szCs w:val="24"/>
        </w:rPr>
        <w:t xml:space="preserve">    </w:t>
      </w:r>
      <w:r w:rsidRPr="00052A38">
        <w:rPr>
          <w:rFonts w:asciiTheme="majorEastAsia" w:eastAsiaTheme="majorEastAsia" w:hAnsiTheme="majorEastAsia" w:cs="宋体" w:hint="eastAsia"/>
          <w:color w:val="000000" w:themeColor="text1"/>
          <w:kern w:val="0"/>
          <w:szCs w:val="24"/>
        </w:rPr>
        <w:t>四是服务外包产业向高端业务拓展。前三季度，我国承接离岸信息技术外包(ITO)、知识流程外包(KPO)和业务流程外包(BPO)执行金额分别为193.2亿美元、125.2亿美元和52.3亿美元，占比分别为52.1%、33.8%和14.1%，同比分别增长22.3%、35.6%和30.1%。企业的交付能力和专业服务水平不断提升。服务外包产业逐渐向高端业务拓展，生物医药研发、技术研发、工业设计等高附加值的知识流程外包与提供商业解决方案的业务流程外包占比日益增大。</w:t>
      </w:r>
    </w:p>
    <w:p w:rsidR="00A92631" w:rsidRPr="00A92631" w:rsidRDefault="00052A38" w:rsidP="00A92631">
      <w:pPr>
        <w:spacing w:line="360" w:lineRule="auto"/>
        <w:rPr>
          <w:rFonts w:asciiTheme="majorEastAsia" w:eastAsiaTheme="majorEastAsia" w:hAnsiTheme="majorEastAsia" w:cs="宋体"/>
          <w:i/>
          <w:color w:val="000000" w:themeColor="text1"/>
          <w:kern w:val="0"/>
          <w:szCs w:val="24"/>
        </w:rPr>
      </w:pPr>
      <w:r>
        <w:rPr>
          <w:rFonts w:asciiTheme="majorEastAsia" w:eastAsiaTheme="majorEastAsia" w:hAnsiTheme="majorEastAsia" w:cs="宋体" w:hint="eastAsia"/>
          <w:color w:val="000000" w:themeColor="text1"/>
          <w:kern w:val="0"/>
          <w:szCs w:val="24"/>
        </w:rPr>
        <w:t xml:space="preserve">                                                                          </w:t>
      </w:r>
      <w:r w:rsidRPr="00052A38">
        <w:rPr>
          <w:rFonts w:asciiTheme="majorEastAsia" w:eastAsiaTheme="majorEastAsia" w:hAnsiTheme="majorEastAsia" w:cs="宋体" w:hint="eastAsia"/>
          <w:i/>
          <w:color w:val="000000" w:themeColor="text1"/>
          <w:kern w:val="0"/>
          <w:szCs w:val="24"/>
        </w:rPr>
        <w:t>本文来自“中国服务外包网”</w:t>
      </w:r>
      <w:bookmarkStart w:id="22" w:name="_Toc402948446"/>
    </w:p>
    <w:p w:rsidR="00052A38" w:rsidRDefault="00052A38" w:rsidP="003D7164">
      <w:pPr>
        <w:pStyle w:val="4"/>
        <w:rPr>
          <w:rFonts w:ascii="黑体" w:eastAsia="黑体"/>
          <w:sz w:val="30"/>
          <w:szCs w:val="30"/>
        </w:rPr>
      </w:pPr>
      <w:r w:rsidRPr="00052A38">
        <w:rPr>
          <w:rFonts w:ascii="黑体" w:eastAsia="黑体" w:hint="eastAsia"/>
          <w:sz w:val="30"/>
          <w:szCs w:val="30"/>
        </w:rPr>
        <w:lastRenderedPageBreak/>
        <w:t>Gartner发布2015年十大IT趋势预测</w:t>
      </w:r>
      <w:bookmarkEnd w:id="22"/>
    </w:p>
    <w:p w:rsidR="000B430A" w:rsidRPr="000B430A" w:rsidRDefault="000B430A" w:rsidP="000B430A">
      <w:pPr>
        <w:widowControl/>
        <w:jc w:val="left"/>
        <w:rPr>
          <w:rFonts w:ascii="宋体" w:hAnsi="宋体" w:cs="宋体"/>
          <w:kern w:val="0"/>
          <w:szCs w:val="24"/>
        </w:rPr>
      </w:pPr>
      <w:r>
        <w:rPr>
          <w:rFonts w:ascii="宋体" w:hAnsi="宋体" w:cs="宋体"/>
          <w:noProof/>
          <w:kern w:val="0"/>
          <w:szCs w:val="24"/>
        </w:rPr>
        <w:drawing>
          <wp:inline distT="0" distB="0" distL="0" distR="0">
            <wp:extent cx="8846443" cy="3515710"/>
            <wp:effectExtent l="19050" t="0" r="0" b="0"/>
            <wp:docPr id="53" name="图片 48" descr="C:\Users\User\AppData\Roaming\Tencent\Users\523707068\QQ\WinTemp\RichOle\JQA1OJ4(@53A45{QIS0GZ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Roaming\Tencent\Users\523707068\QQ\WinTemp\RichOle\JQA1OJ4(@53A45{QIS0GZ_W.jpg"/>
                    <pic:cNvPicPr>
                      <a:picLocks noChangeAspect="1" noChangeArrowheads="1"/>
                    </pic:cNvPicPr>
                  </pic:nvPicPr>
                  <pic:blipFill>
                    <a:blip r:embed="rId27"/>
                    <a:srcRect/>
                    <a:stretch>
                      <a:fillRect/>
                    </a:stretch>
                  </pic:blipFill>
                  <pic:spPr bwMode="auto">
                    <a:xfrm>
                      <a:off x="0" y="0"/>
                      <a:ext cx="8848099" cy="3516368"/>
                    </a:xfrm>
                    <a:prstGeom prst="rect">
                      <a:avLst/>
                    </a:prstGeom>
                    <a:noFill/>
                    <a:ln w="9525">
                      <a:noFill/>
                      <a:miter lim="800000"/>
                      <a:headEnd/>
                      <a:tailEnd/>
                    </a:ln>
                  </pic:spPr>
                </pic:pic>
              </a:graphicData>
            </a:graphic>
          </wp:inline>
        </w:drawing>
      </w:r>
    </w:p>
    <w:p w:rsidR="008537AD" w:rsidRPr="008537AD" w:rsidRDefault="00052A38" w:rsidP="008537AD">
      <w:pPr>
        <w:rPr>
          <w:rFonts w:ascii="宋体" w:hAnsi="宋体" w:cs="宋体"/>
          <w:kern w:val="0"/>
          <w:szCs w:val="24"/>
        </w:rPr>
      </w:pPr>
      <w:r>
        <w:rPr>
          <w:rFonts w:ascii="宋体" w:hAnsi="宋体" w:cs="宋体"/>
          <w:noProof/>
          <w:kern w:val="0"/>
          <w:szCs w:val="24"/>
        </w:rPr>
        <w:lastRenderedPageBreak/>
        <w:drawing>
          <wp:inline distT="0" distB="0" distL="0" distR="0">
            <wp:extent cx="2876090" cy="2648607"/>
            <wp:effectExtent l="19050" t="0" r="460" b="0"/>
            <wp:docPr id="39" name="图片 16" descr="C:\Users\User\AppData\Roaming\Tencent\Users\523707068\QQ\WinTemp\RichOle\K02[@LSKD1M@D@LLB8]79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Roaming\Tencent\Users\523707068\QQ\WinTemp\RichOle\K02[@LSKD1M@D@LLB8]79YG.jpg"/>
                    <pic:cNvPicPr>
                      <a:picLocks noChangeAspect="1" noChangeArrowheads="1"/>
                    </pic:cNvPicPr>
                  </pic:nvPicPr>
                  <pic:blipFill>
                    <a:blip r:embed="rId28"/>
                    <a:srcRect/>
                    <a:stretch>
                      <a:fillRect/>
                    </a:stretch>
                  </pic:blipFill>
                  <pic:spPr bwMode="auto">
                    <a:xfrm>
                      <a:off x="0" y="0"/>
                      <a:ext cx="2877084" cy="2649522"/>
                    </a:xfrm>
                    <a:prstGeom prst="rect">
                      <a:avLst/>
                    </a:prstGeom>
                    <a:noFill/>
                    <a:ln w="9525">
                      <a:noFill/>
                      <a:miter lim="800000"/>
                      <a:headEnd/>
                      <a:tailEnd/>
                    </a:ln>
                  </pic:spPr>
                </pic:pic>
              </a:graphicData>
            </a:graphic>
          </wp:inline>
        </w:drawing>
      </w:r>
      <w:r w:rsidR="008537AD" w:rsidRPr="008537AD">
        <w:t xml:space="preserve"> </w:t>
      </w:r>
      <w:r w:rsidR="008537AD">
        <w:rPr>
          <w:rFonts w:ascii="宋体" w:hAnsi="宋体" w:cs="宋体"/>
          <w:noProof/>
          <w:kern w:val="0"/>
          <w:szCs w:val="24"/>
        </w:rPr>
        <w:drawing>
          <wp:inline distT="0" distB="0" distL="0" distR="0">
            <wp:extent cx="2840749" cy="2640739"/>
            <wp:effectExtent l="19050" t="0" r="0" b="0"/>
            <wp:docPr id="40" name="图片 18" descr="C:\Users\User\AppData\Roaming\Tencent\Users\523707068\QQ\WinTemp\RichOle\O2M3B2TW_S1{C9PU9BD3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Roaming\Tencent\Users\523707068\QQ\WinTemp\RichOle\O2M3B2TW_S1{C9PU9BD3D)K.jpg"/>
                    <pic:cNvPicPr>
                      <a:picLocks noChangeAspect="1" noChangeArrowheads="1"/>
                    </pic:cNvPicPr>
                  </pic:nvPicPr>
                  <pic:blipFill>
                    <a:blip r:embed="rId29"/>
                    <a:srcRect/>
                    <a:stretch>
                      <a:fillRect/>
                    </a:stretch>
                  </pic:blipFill>
                  <pic:spPr bwMode="auto">
                    <a:xfrm>
                      <a:off x="0" y="0"/>
                      <a:ext cx="2852571" cy="2651729"/>
                    </a:xfrm>
                    <a:prstGeom prst="rect">
                      <a:avLst/>
                    </a:prstGeom>
                    <a:noFill/>
                    <a:ln w="9525">
                      <a:noFill/>
                      <a:miter lim="800000"/>
                      <a:headEnd/>
                      <a:tailEnd/>
                    </a:ln>
                  </pic:spPr>
                </pic:pic>
              </a:graphicData>
            </a:graphic>
          </wp:inline>
        </w:drawing>
      </w:r>
      <w:r w:rsidR="008537AD" w:rsidRPr="008537AD">
        <w:t xml:space="preserve"> </w:t>
      </w:r>
      <w:r w:rsidR="008537AD">
        <w:rPr>
          <w:rFonts w:ascii="宋体" w:hAnsi="宋体" w:cs="宋体"/>
          <w:noProof/>
          <w:kern w:val="0"/>
          <w:szCs w:val="24"/>
        </w:rPr>
        <w:drawing>
          <wp:inline distT="0" distB="0" distL="0" distR="0">
            <wp:extent cx="2876090" cy="2617038"/>
            <wp:effectExtent l="19050" t="0" r="460" b="0"/>
            <wp:docPr id="41" name="图片 22" descr="C:\Users\User\AppData\Roaming\Tencent\Users\523707068\QQ\WinTemp\RichOle\F7~URVG822RKAR1B22]X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Roaming\Tencent\Users\523707068\QQ\WinTemp\RichOle\F7~URVG822RKAR1B22]X92C.jpg"/>
                    <pic:cNvPicPr>
                      <a:picLocks noChangeAspect="1" noChangeArrowheads="1"/>
                    </pic:cNvPicPr>
                  </pic:nvPicPr>
                  <pic:blipFill>
                    <a:blip r:embed="rId30"/>
                    <a:srcRect/>
                    <a:stretch>
                      <a:fillRect/>
                    </a:stretch>
                  </pic:blipFill>
                  <pic:spPr bwMode="auto">
                    <a:xfrm>
                      <a:off x="0" y="0"/>
                      <a:ext cx="2870371" cy="2611834"/>
                    </a:xfrm>
                    <a:prstGeom prst="rect">
                      <a:avLst/>
                    </a:prstGeom>
                    <a:noFill/>
                    <a:ln w="9525">
                      <a:noFill/>
                      <a:miter lim="800000"/>
                      <a:headEnd/>
                      <a:tailEnd/>
                    </a:ln>
                  </pic:spPr>
                </pic:pic>
              </a:graphicData>
            </a:graphic>
          </wp:inline>
        </w:drawing>
      </w:r>
      <w:r w:rsidR="008537AD">
        <w:rPr>
          <w:rFonts w:hint="eastAsia"/>
        </w:rPr>
        <w:t xml:space="preserve">      </w:t>
      </w:r>
    </w:p>
    <w:p w:rsidR="008537AD" w:rsidRPr="008537AD" w:rsidRDefault="008537AD" w:rsidP="008537AD">
      <w:pPr>
        <w:rPr>
          <w:rFonts w:ascii="宋体" w:hAnsi="宋体" w:cs="宋体"/>
          <w:kern w:val="0"/>
          <w:szCs w:val="24"/>
        </w:rPr>
      </w:pPr>
      <w:r>
        <w:rPr>
          <w:rFonts w:ascii="宋体" w:hAnsi="宋体" w:cs="宋体"/>
          <w:noProof/>
          <w:kern w:val="0"/>
          <w:szCs w:val="24"/>
        </w:rPr>
        <w:drawing>
          <wp:inline distT="0" distB="0" distL="0" distR="0">
            <wp:extent cx="2966601" cy="2427890"/>
            <wp:effectExtent l="19050" t="0" r="5199" b="0"/>
            <wp:docPr id="42" name="图片 26" descr="C:\Users\User\AppData\Roaming\Tencent\Users\523707068\QQ\WinTemp\RichOle\9~7Z2FAJBYRWEUWI}ZD6(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Roaming\Tencent\Users\523707068\QQ\WinTemp\RichOle\9~7Z2FAJBYRWEUWI}ZD6(K9.jpg"/>
                    <pic:cNvPicPr>
                      <a:picLocks noChangeAspect="1" noChangeArrowheads="1"/>
                    </pic:cNvPicPr>
                  </pic:nvPicPr>
                  <pic:blipFill>
                    <a:blip r:embed="rId31"/>
                    <a:srcRect/>
                    <a:stretch>
                      <a:fillRect/>
                    </a:stretch>
                  </pic:blipFill>
                  <pic:spPr bwMode="auto">
                    <a:xfrm>
                      <a:off x="0" y="0"/>
                      <a:ext cx="2966363" cy="2427696"/>
                    </a:xfrm>
                    <a:prstGeom prst="rect">
                      <a:avLst/>
                    </a:prstGeom>
                    <a:noFill/>
                    <a:ln w="9525">
                      <a:noFill/>
                      <a:miter lim="800000"/>
                      <a:headEnd/>
                      <a:tailEnd/>
                    </a:ln>
                  </pic:spPr>
                </pic:pic>
              </a:graphicData>
            </a:graphic>
          </wp:inline>
        </w:drawing>
      </w:r>
      <w:r>
        <w:rPr>
          <w:rFonts w:ascii="宋体" w:hAnsi="宋体" w:cs="宋体"/>
          <w:noProof/>
          <w:kern w:val="0"/>
          <w:szCs w:val="24"/>
        </w:rPr>
        <w:drawing>
          <wp:inline distT="0" distB="0" distL="0" distR="0">
            <wp:extent cx="2818743" cy="2425744"/>
            <wp:effectExtent l="19050" t="0" r="657" b="0"/>
            <wp:docPr id="43" name="图片 28" descr="C:\Users\User\AppData\Roaming\Tencent\Users\523707068\QQ\WinTemp\RichOle\PL7~]E4{1K_H9NXEZW{1A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Roaming\Tencent\Users\523707068\QQ\WinTemp\RichOle\PL7~]E4{1K_H9NXEZW{1AWD.jpg"/>
                    <pic:cNvPicPr>
                      <a:picLocks noChangeAspect="1" noChangeArrowheads="1"/>
                    </pic:cNvPicPr>
                  </pic:nvPicPr>
                  <pic:blipFill>
                    <a:blip r:embed="rId32"/>
                    <a:srcRect/>
                    <a:stretch>
                      <a:fillRect/>
                    </a:stretch>
                  </pic:blipFill>
                  <pic:spPr bwMode="auto">
                    <a:xfrm>
                      <a:off x="0" y="0"/>
                      <a:ext cx="2827768" cy="2433511"/>
                    </a:xfrm>
                    <a:prstGeom prst="rect">
                      <a:avLst/>
                    </a:prstGeom>
                    <a:noFill/>
                    <a:ln w="9525">
                      <a:noFill/>
                      <a:miter lim="800000"/>
                      <a:headEnd/>
                      <a:tailEnd/>
                    </a:ln>
                  </pic:spPr>
                </pic:pic>
              </a:graphicData>
            </a:graphic>
          </wp:inline>
        </w:drawing>
      </w:r>
      <w:r w:rsidRPr="008537AD">
        <w:t xml:space="preserve"> </w:t>
      </w:r>
      <w:r>
        <w:rPr>
          <w:rFonts w:ascii="宋体" w:hAnsi="宋体" w:cs="宋体"/>
          <w:noProof/>
          <w:kern w:val="0"/>
          <w:szCs w:val="24"/>
        </w:rPr>
        <w:drawing>
          <wp:inline distT="0" distB="0" distL="0" distR="0">
            <wp:extent cx="2881805" cy="2423950"/>
            <wp:effectExtent l="19050" t="0" r="0" b="0"/>
            <wp:docPr id="49" name="图片 44" descr="C:\Users\User\AppData\Roaming\Tencent\Users\523707068\QQ\WinTemp\RichOle\SD11L0G}}~QY%@V_B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Roaming\Tencent\Users\523707068\QQ\WinTemp\RichOle\SD11L0G}}~QY%@V_B_{@1$G.jpg"/>
                    <pic:cNvPicPr>
                      <a:picLocks noChangeAspect="1" noChangeArrowheads="1"/>
                    </pic:cNvPicPr>
                  </pic:nvPicPr>
                  <pic:blipFill>
                    <a:blip r:embed="rId33"/>
                    <a:srcRect/>
                    <a:stretch>
                      <a:fillRect/>
                    </a:stretch>
                  </pic:blipFill>
                  <pic:spPr bwMode="auto">
                    <a:xfrm>
                      <a:off x="0" y="0"/>
                      <a:ext cx="2882253" cy="2424327"/>
                    </a:xfrm>
                    <a:prstGeom prst="rect">
                      <a:avLst/>
                    </a:prstGeom>
                    <a:noFill/>
                    <a:ln w="9525">
                      <a:noFill/>
                      <a:miter lim="800000"/>
                      <a:headEnd/>
                      <a:tailEnd/>
                    </a:ln>
                  </pic:spPr>
                </pic:pic>
              </a:graphicData>
            </a:graphic>
          </wp:inline>
        </w:drawing>
      </w:r>
    </w:p>
    <w:p w:rsidR="008537AD" w:rsidRPr="008537AD" w:rsidRDefault="008537AD" w:rsidP="008537AD">
      <w:pPr>
        <w:rPr>
          <w:rFonts w:ascii="宋体" w:hAnsi="宋体" w:cs="宋体"/>
          <w:kern w:val="0"/>
          <w:szCs w:val="24"/>
        </w:rPr>
      </w:pPr>
    </w:p>
    <w:p w:rsidR="008537AD" w:rsidRPr="008537AD" w:rsidRDefault="008537AD" w:rsidP="008537AD">
      <w:pPr>
        <w:widowControl/>
        <w:jc w:val="left"/>
        <w:rPr>
          <w:rFonts w:ascii="宋体" w:hAnsi="宋体" w:cs="宋体"/>
          <w:kern w:val="0"/>
          <w:szCs w:val="24"/>
        </w:rPr>
      </w:pPr>
      <w:r>
        <w:rPr>
          <w:rFonts w:ascii="宋体" w:hAnsi="宋体" w:cs="宋体"/>
          <w:noProof/>
          <w:kern w:val="0"/>
          <w:szCs w:val="24"/>
        </w:rPr>
        <w:lastRenderedPageBreak/>
        <w:drawing>
          <wp:inline distT="0" distB="0" distL="0" distR="0">
            <wp:extent cx="7905750" cy="2792051"/>
            <wp:effectExtent l="19050" t="0" r="0" b="0"/>
            <wp:docPr id="47" name="图片 40" descr="C:\Users\User\AppData\Roaming\Tencent\Users\523707068\QQ\WinTemp\RichOle\M@{_%[LJ9%DBQJCVGKUI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Roaming\Tencent\Users\523707068\QQ\WinTemp\RichOle\M@{_%[LJ9%DBQJCVGKUI8]T.jpg"/>
                    <pic:cNvPicPr>
                      <a:picLocks noChangeAspect="1" noChangeArrowheads="1"/>
                    </pic:cNvPicPr>
                  </pic:nvPicPr>
                  <pic:blipFill>
                    <a:blip r:embed="rId34"/>
                    <a:srcRect/>
                    <a:stretch>
                      <a:fillRect/>
                    </a:stretch>
                  </pic:blipFill>
                  <pic:spPr bwMode="auto">
                    <a:xfrm>
                      <a:off x="0" y="0"/>
                      <a:ext cx="7905721" cy="2792041"/>
                    </a:xfrm>
                    <a:prstGeom prst="rect">
                      <a:avLst/>
                    </a:prstGeom>
                    <a:noFill/>
                    <a:ln w="9525">
                      <a:noFill/>
                      <a:miter lim="800000"/>
                      <a:headEnd/>
                      <a:tailEnd/>
                    </a:ln>
                  </pic:spPr>
                </pic:pic>
              </a:graphicData>
            </a:graphic>
          </wp:inline>
        </w:drawing>
      </w:r>
      <w:r>
        <w:rPr>
          <w:rFonts w:ascii="宋体" w:hAnsi="宋体" w:cs="宋体" w:hint="eastAsia"/>
          <w:kern w:val="0"/>
          <w:szCs w:val="24"/>
        </w:rPr>
        <w:t xml:space="preserve"> </w:t>
      </w:r>
    </w:p>
    <w:p w:rsidR="008537AD" w:rsidRPr="008537AD" w:rsidRDefault="008537AD" w:rsidP="008537AD">
      <w:pPr>
        <w:widowControl/>
        <w:jc w:val="left"/>
        <w:rPr>
          <w:rFonts w:ascii="宋体" w:hAnsi="宋体" w:cs="宋体"/>
          <w:kern w:val="0"/>
          <w:szCs w:val="24"/>
        </w:rPr>
      </w:pPr>
      <w:r>
        <w:rPr>
          <w:rFonts w:ascii="宋体" w:hAnsi="宋体" w:cs="宋体"/>
          <w:noProof/>
          <w:kern w:val="0"/>
          <w:szCs w:val="24"/>
        </w:rPr>
        <w:drawing>
          <wp:inline distT="0" distB="0" distL="0" distR="0">
            <wp:extent cx="8001000" cy="1964909"/>
            <wp:effectExtent l="19050" t="0" r="0" b="0"/>
            <wp:docPr id="48" name="图片 42" descr="C:\Users\User\AppData\Roaming\Tencent\Users\523707068\QQ\WinTemp\RichOle\OEKR]28CDM]HAMJA$L~B]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Roaming\Tencent\Users\523707068\QQ\WinTemp\RichOle\OEKR]28CDM]HAMJA$L~B]EW.jpg"/>
                    <pic:cNvPicPr>
                      <a:picLocks noChangeAspect="1" noChangeArrowheads="1"/>
                    </pic:cNvPicPr>
                  </pic:nvPicPr>
                  <pic:blipFill>
                    <a:blip r:embed="rId35"/>
                    <a:srcRect/>
                    <a:stretch>
                      <a:fillRect/>
                    </a:stretch>
                  </pic:blipFill>
                  <pic:spPr bwMode="auto">
                    <a:xfrm>
                      <a:off x="0" y="0"/>
                      <a:ext cx="7999403" cy="1964517"/>
                    </a:xfrm>
                    <a:prstGeom prst="rect">
                      <a:avLst/>
                    </a:prstGeom>
                    <a:noFill/>
                    <a:ln w="9525">
                      <a:noFill/>
                      <a:miter lim="800000"/>
                      <a:headEnd/>
                      <a:tailEnd/>
                    </a:ln>
                  </pic:spPr>
                </pic:pic>
              </a:graphicData>
            </a:graphic>
          </wp:inline>
        </w:drawing>
      </w:r>
    </w:p>
    <w:p w:rsidR="008537AD" w:rsidRPr="008537AD" w:rsidRDefault="008537AD" w:rsidP="008537AD">
      <w:pPr>
        <w:widowControl/>
        <w:jc w:val="left"/>
        <w:rPr>
          <w:rFonts w:ascii="宋体" w:hAnsi="宋体" w:cs="宋体"/>
          <w:kern w:val="0"/>
          <w:szCs w:val="24"/>
        </w:rPr>
      </w:pPr>
    </w:p>
    <w:p w:rsidR="00052A38" w:rsidRPr="00052A38" w:rsidRDefault="00052A38" w:rsidP="00052A38">
      <w:pPr>
        <w:widowControl/>
        <w:jc w:val="left"/>
        <w:rPr>
          <w:rFonts w:ascii="宋体" w:hAnsi="宋体" w:cs="宋体"/>
          <w:kern w:val="0"/>
          <w:szCs w:val="24"/>
        </w:rPr>
      </w:pPr>
    </w:p>
    <w:p w:rsidR="00405AC7" w:rsidRPr="00B42FC8" w:rsidRDefault="007F4EB5" w:rsidP="00B42FC8">
      <w:pPr>
        <w:pStyle w:val="4"/>
        <w:spacing w:line="360" w:lineRule="auto"/>
        <w:rPr>
          <w:rFonts w:ascii="宋体" w:hAnsi="宋体"/>
          <w:color w:val="000000" w:themeColor="text1"/>
          <w:shd w:val="clear" w:color="auto" w:fill="FFFFFF"/>
        </w:rPr>
      </w:pPr>
      <w:bookmarkStart w:id="23" w:name="_Toc402948447"/>
      <w:r w:rsidRPr="007F4EB5">
        <w:rPr>
          <w:rFonts w:ascii="黑体" w:eastAsia="黑体" w:hint="eastAsia"/>
          <w:sz w:val="30"/>
          <w:szCs w:val="30"/>
        </w:rPr>
        <w:lastRenderedPageBreak/>
        <w:t>展望十三五，中国服务外包产业发展趋势</w:t>
      </w:r>
      <w:bookmarkEnd w:id="23"/>
    </w:p>
    <w:p w:rsidR="007F4EB5" w:rsidRPr="00B42FC8" w:rsidRDefault="008B2E71" w:rsidP="007F4EB5">
      <w:pPr>
        <w:spacing w:line="360" w:lineRule="auto"/>
        <w:rPr>
          <w:rFonts w:ascii="微软雅黑" w:eastAsia="微软雅黑" w:hAnsi="微软雅黑" w:cs="宋体"/>
          <w:color w:val="000000" w:themeColor="text1"/>
          <w:kern w:val="0"/>
          <w:szCs w:val="24"/>
        </w:rPr>
      </w:pPr>
      <w:r w:rsidRPr="00B42FC8">
        <w:rPr>
          <w:rFonts w:ascii="ˎ̥" w:hAnsi="ˎ̥" w:cs="宋体" w:hint="eastAsia"/>
          <w:color w:val="000000" w:themeColor="text1"/>
          <w:kern w:val="0"/>
          <w:szCs w:val="21"/>
        </w:rPr>
        <w:t xml:space="preserve">  </w:t>
      </w:r>
      <w:r w:rsidRPr="00B42FC8">
        <w:rPr>
          <w:rFonts w:asciiTheme="majorEastAsia" w:eastAsiaTheme="majorEastAsia" w:hAnsiTheme="majorEastAsia" w:cs="宋体" w:hint="eastAsia"/>
          <w:color w:val="000000" w:themeColor="text1"/>
          <w:kern w:val="0"/>
          <w:szCs w:val="21"/>
        </w:rPr>
        <w:t xml:space="preserve"> </w:t>
      </w:r>
      <w:r w:rsidRPr="00B42FC8">
        <w:rPr>
          <w:rFonts w:asciiTheme="majorEastAsia" w:eastAsiaTheme="majorEastAsia" w:hAnsiTheme="majorEastAsia" w:cs="宋体" w:hint="eastAsia"/>
          <w:color w:val="000000" w:themeColor="text1"/>
          <w:kern w:val="0"/>
          <w:szCs w:val="24"/>
        </w:rPr>
        <w:t xml:space="preserve"> </w:t>
      </w:r>
      <w:r w:rsidR="007F4EB5" w:rsidRPr="007F4EB5">
        <w:rPr>
          <w:rFonts w:asciiTheme="majorEastAsia" w:eastAsiaTheme="majorEastAsia" w:hAnsiTheme="majorEastAsia" w:cs="宋体"/>
          <w:noProof/>
          <w:color w:val="000000" w:themeColor="text1"/>
          <w:kern w:val="0"/>
          <w:szCs w:val="24"/>
        </w:rPr>
        <w:drawing>
          <wp:inline distT="0" distB="0" distL="0" distR="0">
            <wp:extent cx="8315325" cy="3686175"/>
            <wp:effectExtent l="0" t="0" r="0" b="0"/>
            <wp:docPr id="50"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807719" cy="5915763"/>
                      <a:chOff x="279400" y="515938"/>
                      <a:chExt cx="10807719" cy="5915763"/>
                    </a:xfrm>
                  </a:grpSpPr>
                  <a:sp>
                    <a:nvSpPr>
                      <a:cNvPr id="4" name="任意多边形 3"/>
                      <a:cNvSpPr/>
                    </a:nvSpPr>
                    <a:spPr>
                      <a:xfrm>
                        <a:off x="1212224" y="1870430"/>
                        <a:ext cx="1833721" cy="1268938"/>
                      </a:xfrm>
                      <a:custGeom>
                        <a:avLst/>
                        <a:gdLst>
                          <a:gd name="connsiteX0" fmla="*/ 0 w 1877568"/>
                          <a:gd name="connsiteY0" fmla="*/ 0 h 1710248"/>
                          <a:gd name="connsiteX1" fmla="*/ 1877568 w 1877568"/>
                          <a:gd name="connsiteY1" fmla="*/ 0 h 1710248"/>
                          <a:gd name="connsiteX2" fmla="*/ 1877568 w 1877568"/>
                          <a:gd name="connsiteY2" fmla="*/ 1710248 h 1710248"/>
                          <a:gd name="connsiteX3" fmla="*/ 0 w 1877568"/>
                          <a:gd name="connsiteY3" fmla="*/ 1710248 h 1710248"/>
                          <a:gd name="connsiteX4" fmla="*/ 0 w 1877568"/>
                          <a:gd name="connsiteY4" fmla="*/ 0 h 1710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710248">
                            <a:moveTo>
                              <a:pt x="0" y="0"/>
                            </a:moveTo>
                            <a:lnTo>
                              <a:pt x="1877568" y="0"/>
                            </a:lnTo>
                            <a:lnTo>
                              <a:pt x="1877568" y="1710248"/>
                            </a:lnTo>
                            <a:lnTo>
                              <a:pt x="0" y="1710248"/>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en-US" altLang="zh-CN" kern="0" dirty="0" smtClean="0">
                              <a:solidFill>
                                <a:prstClr val="black">
                                  <a:hueOff val="0"/>
                                  <a:satOff val="0"/>
                                  <a:lumOff val="0"/>
                                  <a:alphaOff val="0"/>
                                </a:prstClr>
                              </a:solidFill>
                              <a:latin typeface="微软雅黑" pitchFamily="34" charset="-122"/>
                              <a:ea typeface="微软雅黑" pitchFamily="34" charset="-122"/>
                            </a:rPr>
                            <a:t>IT</a:t>
                          </a:r>
                          <a:r>
                            <a:rPr lang="zh-CN" altLang="en-US" kern="0" dirty="0" smtClean="0">
                              <a:solidFill>
                                <a:prstClr val="black">
                                  <a:hueOff val="0"/>
                                  <a:satOff val="0"/>
                                  <a:lumOff val="0"/>
                                  <a:alphaOff val="0"/>
                                </a:prstClr>
                              </a:solidFill>
                              <a:latin typeface="微软雅黑" pitchFamily="34" charset="-122"/>
                              <a:ea typeface="微软雅黑" pitchFamily="34" charset="-122"/>
                            </a:rPr>
                            <a:t>定义产业并引领外包发展的时代来临</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5" name="任意多边形 4"/>
                      <a:cNvSpPr/>
                    </a:nvSpPr>
                    <a:spPr>
                      <a:xfrm>
                        <a:off x="3046315" y="2138606"/>
                        <a:ext cx="1817673" cy="1320295"/>
                      </a:xfrm>
                      <a:custGeom>
                        <a:avLst/>
                        <a:gdLst>
                          <a:gd name="connsiteX0" fmla="*/ 0 w 1877568"/>
                          <a:gd name="connsiteY0" fmla="*/ 0 h 1710248"/>
                          <a:gd name="connsiteX1" fmla="*/ 1877568 w 1877568"/>
                          <a:gd name="connsiteY1" fmla="*/ 0 h 1710248"/>
                          <a:gd name="connsiteX2" fmla="*/ 1877568 w 1877568"/>
                          <a:gd name="connsiteY2" fmla="*/ 1710248 h 1710248"/>
                          <a:gd name="connsiteX3" fmla="*/ 0 w 1877568"/>
                          <a:gd name="connsiteY3" fmla="*/ 1710248 h 1710248"/>
                          <a:gd name="connsiteX4" fmla="*/ 0 w 1877568"/>
                          <a:gd name="connsiteY4" fmla="*/ 0 h 1710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710248">
                            <a:moveTo>
                              <a:pt x="0" y="0"/>
                            </a:moveTo>
                            <a:lnTo>
                              <a:pt x="1877568" y="0"/>
                            </a:lnTo>
                            <a:lnTo>
                              <a:pt x="1877568" y="1710248"/>
                            </a:lnTo>
                            <a:lnTo>
                              <a:pt x="0" y="1710248"/>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dirty="0" smtClean="0">
                              <a:latin typeface="微软雅黑" pitchFamily="34" charset="-122"/>
                              <a:ea typeface="微软雅黑" pitchFamily="34" charset="-122"/>
                            </a:rPr>
                            <a:t>云端交付成为外包服务交付的核心形式</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33" name="右箭头 32"/>
                      <a:cNvSpPr/>
                    </a:nvSpPr>
                    <a:spPr bwMode="auto">
                      <a:xfrm>
                        <a:off x="1137242" y="3158542"/>
                        <a:ext cx="2872795" cy="1118797"/>
                      </a:xfrm>
                      <a:prstGeom prst="rightArrow">
                        <a:avLst/>
                      </a:prstGeom>
                      <a:gradFill flip="none"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0" scaled="1"/>
                        <a:tileRect/>
                      </a:gradFill>
                      <a:ln>
                        <a:headEnd type="none" w="med" len="med"/>
                        <a:tailEnd type="none" w="med" len="med"/>
                      </a:ln>
                    </a:spPr>
                    <a:txSp>
                      <a:txBody>
                        <a:bodyP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eaLnBrk="0" hangingPunct="0">
                            <a:defRPr/>
                          </a:pPr>
                          <a:endParaRPr lang="zh-CN" altLang="en-US">
                            <a:solidFill>
                              <a:schemeClr val="tx1"/>
                            </a:solidFill>
                          </a:endParaRPr>
                        </a:p>
                      </a:txBody>
                      <a:useSpRect/>
                    </a:txSp>
                    <a:style>
                      <a:lnRef idx="0">
                        <a:schemeClr val="accent1"/>
                      </a:lnRef>
                      <a:fillRef idx="3">
                        <a:schemeClr val="accent1"/>
                      </a:fillRef>
                      <a:effectRef idx="3">
                        <a:schemeClr val="accent1"/>
                      </a:effectRef>
                      <a:fontRef idx="minor">
                        <a:schemeClr val="lt1"/>
                      </a:fontRef>
                    </a:style>
                  </a:sp>
                  <a:sp>
                    <a:nvSpPr>
                      <a:cNvPr id="2" name="灯片编号占位符 1"/>
                      <a:cNvSpPr>
                        <a:spLocks noGrp="1"/>
                      </a:cNvSpPr>
                    </a:nvSpPr>
                    <a:spPr bwMode="auto">
                      <a:xfrm>
                        <a:off x="3600462" y="5249819"/>
                        <a:ext cx="3276600" cy="365125"/>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defPPr>
                            <a:defRPr lang="zh-CN"/>
                          </a:defPPr>
                          <a:lvl1pPr algn="r" rtl="0" eaLnBrk="1" fontAlgn="base" hangingPunct="1">
                            <a:spcBef>
                              <a:spcPct val="0"/>
                            </a:spcBef>
                            <a:spcAft>
                              <a:spcPct val="0"/>
                            </a:spcAft>
                            <a:defRPr sz="1200" kern="1200">
                              <a:solidFill>
                                <a:srgbClr val="898989"/>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defRPr/>
                          </a:pPr>
                          <a:fld id="{D1A9C443-0BB6-4A09-AF62-36AC5D68514B}" type="slidenum">
                            <a:rPr lang="zh-CN" altLang="en-US" smtClean="0"/>
                            <a:pPr>
                              <a:defRPr/>
                            </a:pPr>
                            <a:t>40</a:t>
                          </a:fld>
                          <a:endParaRPr lang="zh-CN" altLang="en-US" dirty="0"/>
                        </a:p>
                      </a:txBody>
                      <a:useSpRect/>
                    </a:txSp>
                  </a:sp>
                  <a:sp>
                    <a:nvSpPr>
                      <a:cNvPr id="3" name="TextBox 2"/>
                      <a:cNvSpPr txBox="1">
                        <a:spLocks noChangeArrowheads="1"/>
                      </a:cNvSpPr>
                    </a:nvSpPr>
                    <a:spPr bwMode="auto">
                      <a:xfrm>
                        <a:off x="279400" y="515938"/>
                        <a:ext cx="7421563" cy="461665"/>
                      </a:xfrm>
                      <a:prstGeom prst="rect">
                        <a:avLst/>
                      </a:prstGeom>
                      <a:noFill/>
                      <a:ln w="9525">
                        <a:noFill/>
                        <a:miter lim="800000"/>
                        <a:headEnd/>
                        <a:tailEnd/>
                      </a:ln>
                    </a:spPr>
                    <a:txSp>
                      <a:txBody>
                        <a:bodyPr wrap="square">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sz="2400" dirty="0" smtClean="0">
                              <a:solidFill>
                                <a:schemeClr val="bg1"/>
                              </a:solidFill>
                              <a:latin typeface="微软雅黑" pitchFamily="34" charset="-122"/>
                              <a:ea typeface="微软雅黑" pitchFamily="34" charset="-122"/>
                            </a:rPr>
                            <a:t>展望十三五，中国服</a:t>
                          </a:r>
                          <a:r>
                            <a:rPr lang="zh-CN" altLang="en-US" sz="2400" dirty="0">
                              <a:solidFill>
                                <a:schemeClr val="bg1"/>
                              </a:solidFill>
                              <a:latin typeface="微软雅黑" pitchFamily="34" charset="-122"/>
                              <a:ea typeface="微软雅黑" pitchFamily="34" charset="-122"/>
                            </a:rPr>
                            <a:t>务外</a:t>
                          </a:r>
                          <a:r>
                            <a:rPr lang="zh-CN" altLang="en-US" sz="2400" dirty="0" smtClean="0">
                              <a:solidFill>
                                <a:schemeClr val="bg1"/>
                              </a:solidFill>
                              <a:latin typeface="微软雅黑" pitchFamily="34" charset="-122"/>
                              <a:ea typeface="微软雅黑" pitchFamily="34" charset="-122"/>
                            </a:rPr>
                            <a:t>包产业发</a:t>
                          </a:r>
                          <a:r>
                            <a:rPr lang="zh-CN" altLang="en-US" sz="2400" dirty="0">
                              <a:solidFill>
                                <a:schemeClr val="bg1"/>
                              </a:solidFill>
                              <a:latin typeface="微软雅黑" pitchFamily="34" charset="-122"/>
                              <a:ea typeface="微软雅黑" pitchFamily="34" charset="-122"/>
                            </a:rPr>
                            <a:t>展趋</a:t>
                          </a:r>
                          <a:r>
                            <a:rPr lang="zh-CN" altLang="en-US" sz="2400" dirty="0" smtClean="0">
                              <a:solidFill>
                                <a:schemeClr val="bg1"/>
                              </a:solidFill>
                              <a:latin typeface="微软雅黑" pitchFamily="34" charset="-122"/>
                              <a:ea typeface="微软雅黑" pitchFamily="34" charset="-122"/>
                            </a:rPr>
                            <a:t>势</a:t>
                          </a:r>
                          <a:endParaRPr lang="zh-CN" altLang="en-US" sz="2400" dirty="0">
                            <a:solidFill>
                              <a:schemeClr val="bg1"/>
                            </a:solidFill>
                            <a:latin typeface="微软雅黑" pitchFamily="34" charset="-122"/>
                            <a:ea typeface="微软雅黑" pitchFamily="34" charset="-122"/>
                          </a:endParaRPr>
                        </a:p>
                      </a:txBody>
                      <a:useSpRect/>
                    </a:txSp>
                  </a:sp>
                  <a:sp>
                    <a:nvSpPr>
                      <a:cNvPr id="6" name="任意多边形 5"/>
                      <a:cNvSpPr/>
                    </a:nvSpPr>
                    <a:spPr>
                      <a:xfrm>
                        <a:off x="4833848" y="2442918"/>
                        <a:ext cx="1855410" cy="1307105"/>
                      </a:xfrm>
                      <a:custGeom>
                        <a:avLst/>
                        <a:gdLst>
                          <a:gd name="connsiteX0" fmla="*/ 0 w 1877568"/>
                          <a:gd name="connsiteY0" fmla="*/ 0 h 1685219"/>
                          <a:gd name="connsiteX1" fmla="*/ 1877568 w 1877568"/>
                          <a:gd name="connsiteY1" fmla="*/ 0 h 1685219"/>
                          <a:gd name="connsiteX2" fmla="*/ 1877568 w 1877568"/>
                          <a:gd name="connsiteY2" fmla="*/ 1685219 h 1685219"/>
                          <a:gd name="connsiteX3" fmla="*/ 0 w 1877568"/>
                          <a:gd name="connsiteY3" fmla="*/ 1685219 h 1685219"/>
                          <a:gd name="connsiteX4" fmla="*/ 0 w 1877568"/>
                          <a:gd name="connsiteY4" fmla="*/ 0 h 1685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685219">
                            <a:moveTo>
                              <a:pt x="0" y="0"/>
                            </a:moveTo>
                            <a:lnTo>
                              <a:pt x="1877568" y="0"/>
                            </a:lnTo>
                            <a:lnTo>
                              <a:pt x="1877568" y="1685219"/>
                            </a:lnTo>
                            <a:lnTo>
                              <a:pt x="0" y="1685219"/>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kern="0" dirty="0" smtClean="0">
                              <a:solidFill>
                                <a:prstClr val="black">
                                  <a:hueOff val="0"/>
                                  <a:satOff val="0"/>
                                  <a:lumOff val="0"/>
                                  <a:alphaOff val="0"/>
                                </a:prstClr>
                              </a:solidFill>
                              <a:latin typeface="微软雅黑" pitchFamily="34" charset="-122"/>
                              <a:ea typeface="微软雅黑" pitchFamily="34" charset="-122"/>
                            </a:rPr>
                            <a:t>服务外包同互联网及垂直行业深度</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7" name="右箭头 6"/>
                      <a:cNvSpPr/>
                    </a:nvSpPr>
                    <a:spPr bwMode="auto">
                      <a:xfrm>
                        <a:off x="1184874" y="1020110"/>
                        <a:ext cx="2872795" cy="1118797"/>
                      </a:xfrm>
                      <a:prstGeom prst="rightArrow">
                        <a:avLst/>
                      </a:prstGeom>
                      <a:gradFill flip="none"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0" scaled="1"/>
                        <a:tileRect/>
                      </a:gradFill>
                      <a:ln>
                        <a:headEnd type="none" w="med" len="med"/>
                        <a:tailEnd type="none" w="med" len="med"/>
                      </a:ln>
                    </a:spPr>
                    <a:txSp>
                      <a:txBody>
                        <a:bodyP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eaLnBrk="0" hangingPunct="0">
                            <a:defRPr/>
                          </a:pPr>
                          <a:endParaRPr lang="zh-CN" altLang="en-US">
                            <a:solidFill>
                              <a:schemeClr val="tx1"/>
                            </a:solidFill>
                          </a:endParaRPr>
                        </a:p>
                      </a:txBody>
                      <a:useSpRect/>
                    </a:txSp>
                    <a:style>
                      <a:lnRef idx="0">
                        <a:schemeClr val="accent1"/>
                      </a:lnRef>
                      <a:fillRef idx="3">
                        <a:schemeClr val="accent1"/>
                      </a:fillRef>
                      <a:effectRef idx="3">
                        <a:schemeClr val="accent1"/>
                      </a:effectRef>
                      <a:fontRef idx="minor">
                        <a:schemeClr val="lt1"/>
                      </a:fontRef>
                    </a:style>
                  </a:sp>
                  <a:sp>
                    <a:nvSpPr>
                      <a:cNvPr id="8" name="任意多边形 7"/>
                      <a:cNvSpPr/>
                    </a:nvSpPr>
                    <a:spPr>
                      <a:xfrm>
                        <a:off x="6680806" y="2717477"/>
                        <a:ext cx="1822964" cy="1280972"/>
                      </a:xfrm>
                      <a:custGeom>
                        <a:avLst/>
                        <a:gdLst>
                          <a:gd name="connsiteX0" fmla="*/ 0 w 1877568"/>
                          <a:gd name="connsiteY0" fmla="*/ 0 h 1710248"/>
                          <a:gd name="connsiteX1" fmla="*/ 1877568 w 1877568"/>
                          <a:gd name="connsiteY1" fmla="*/ 0 h 1710248"/>
                          <a:gd name="connsiteX2" fmla="*/ 1877568 w 1877568"/>
                          <a:gd name="connsiteY2" fmla="*/ 1710248 h 1710248"/>
                          <a:gd name="connsiteX3" fmla="*/ 0 w 1877568"/>
                          <a:gd name="connsiteY3" fmla="*/ 1710248 h 1710248"/>
                          <a:gd name="connsiteX4" fmla="*/ 0 w 1877568"/>
                          <a:gd name="connsiteY4" fmla="*/ 0 h 1710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710248">
                            <a:moveTo>
                              <a:pt x="0" y="0"/>
                            </a:moveTo>
                            <a:lnTo>
                              <a:pt x="1877568" y="0"/>
                            </a:lnTo>
                            <a:lnTo>
                              <a:pt x="1877568" y="1710248"/>
                            </a:lnTo>
                            <a:lnTo>
                              <a:pt x="0" y="1710248"/>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dirty="0" smtClean="0">
                              <a:latin typeface="微软雅黑" pitchFamily="34" charset="-122"/>
                              <a:ea typeface="微软雅黑" pitchFamily="34" charset="-122"/>
                            </a:rPr>
                            <a:t>创新帮助企业实现差</a:t>
                          </a:r>
                          <a:r>
                            <a:rPr lang="zh-CN" altLang="en-US" dirty="0">
                              <a:latin typeface="微软雅黑" pitchFamily="34" charset="-122"/>
                              <a:ea typeface="微软雅黑" pitchFamily="34" charset="-122"/>
                            </a:rPr>
                            <a:t>异化战</a:t>
                          </a:r>
                          <a:r>
                            <a:rPr lang="zh-CN" altLang="en-US" dirty="0" smtClean="0">
                              <a:latin typeface="微软雅黑" pitchFamily="34" charset="-122"/>
                              <a:ea typeface="微软雅黑" pitchFamily="34" charset="-122"/>
                            </a:rPr>
                            <a:t>略及优势地位</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9" name="任意多边形 8"/>
                      <a:cNvSpPr/>
                    </a:nvSpPr>
                    <a:spPr>
                      <a:xfrm>
                        <a:off x="8504140" y="2980025"/>
                        <a:ext cx="2011309" cy="1313244"/>
                      </a:xfrm>
                      <a:custGeom>
                        <a:avLst/>
                        <a:gdLst>
                          <a:gd name="connsiteX0" fmla="*/ 0 w 1877568"/>
                          <a:gd name="connsiteY0" fmla="*/ 0 h 1710248"/>
                          <a:gd name="connsiteX1" fmla="*/ 1877568 w 1877568"/>
                          <a:gd name="connsiteY1" fmla="*/ 0 h 1710248"/>
                          <a:gd name="connsiteX2" fmla="*/ 1877568 w 1877568"/>
                          <a:gd name="connsiteY2" fmla="*/ 1710248 h 1710248"/>
                          <a:gd name="connsiteX3" fmla="*/ 0 w 1877568"/>
                          <a:gd name="connsiteY3" fmla="*/ 1710248 h 1710248"/>
                          <a:gd name="connsiteX4" fmla="*/ 0 w 1877568"/>
                          <a:gd name="connsiteY4" fmla="*/ 0 h 1710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710248">
                            <a:moveTo>
                              <a:pt x="0" y="0"/>
                            </a:moveTo>
                            <a:lnTo>
                              <a:pt x="1877568" y="0"/>
                            </a:lnTo>
                            <a:lnTo>
                              <a:pt x="1877568" y="1710248"/>
                            </a:lnTo>
                            <a:lnTo>
                              <a:pt x="0" y="1710248"/>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dirty="0" smtClean="0">
                              <a:latin typeface="微软雅黑" pitchFamily="34" charset="-122"/>
                              <a:ea typeface="微软雅黑" pitchFamily="34" charset="-122"/>
                            </a:rPr>
                            <a:t>产业链条及生态圈竞争成为市场竞争的主要形态</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10" name="右箭头 9"/>
                      <a:cNvSpPr/>
                    </a:nvSpPr>
                    <a:spPr bwMode="auto">
                      <a:xfrm>
                        <a:off x="3013673" y="1318129"/>
                        <a:ext cx="3001384" cy="1097280"/>
                      </a:xfrm>
                      <a:prstGeom prst="rightArrow">
                        <a:avLst/>
                      </a:prstGeom>
                      <a:gradFill flip="none"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0" scaled="1"/>
                        <a:tileRect/>
                      </a:gradFill>
                      <a:ln>
                        <a:headEnd type="none" w="med" len="med"/>
                        <a:tailEnd type="none" w="med" len="med"/>
                      </a:ln>
                    </a:spPr>
                    <a:txSp>
                      <a:txBody>
                        <a:bodyP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eaLnBrk="0" hangingPunct="0">
                            <a:defRPr/>
                          </a:pPr>
                          <a:endParaRPr lang="zh-CN" altLang="en-US">
                            <a:solidFill>
                              <a:schemeClr val="tx1"/>
                            </a:solidFill>
                          </a:endParaRPr>
                        </a:p>
                      </a:txBody>
                      <a:useSpRect/>
                    </a:txSp>
                    <a:style>
                      <a:lnRef idx="0">
                        <a:schemeClr val="accent2"/>
                      </a:lnRef>
                      <a:fillRef idx="3">
                        <a:schemeClr val="accent2"/>
                      </a:fillRef>
                      <a:effectRef idx="3">
                        <a:schemeClr val="accent2"/>
                      </a:effectRef>
                      <a:fontRef idx="minor">
                        <a:schemeClr val="lt1"/>
                      </a:fontRef>
                    </a:style>
                  </a:sp>
                  <a:sp>
                    <a:nvSpPr>
                      <a:cNvPr id="11" name="右箭头 10"/>
                      <a:cNvSpPr/>
                    </a:nvSpPr>
                    <a:spPr bwMode="auto">
                      <a:xfrm>
                        <a:off x="4828185" y="1566221"/>
                        <a:ext cx="3015672" cy="1140312"/>
                      </a:xfrm>
                      <a:prstGeom prst="rightArrow">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a:ln>
                        <a:headEnd type="none" w="med" len="med"/>
                        <a:tailEnd type="none" w="med" len="med"/>
                      </a:ln>
                    </a:spPr>
                    <a:txSp>
                      <a:txBody>
                        <a:bodyP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eaLnBrk="0" hangingPunct="0">
                            <a:defRPr/>
                          </a:pPr>
                          <a:endParaRPr lang="zh-CN" altLang="en-US">
                            <a:solidFill>
                              <a:schemeClr val="tx1"/>
                            </a:solidFill>
                          </a:endParaRPr>
                        </a:p>
                      </a:txBody>
                      <a:useSpRect/>
                    </a:txSp>
                    <a:style>
                      <a:lnRef idx="0">
                        <a:schemeClr val="accent5"/>
                      </a:lnRef>
                      <a:fillRef idx="3">
                        <a:schemeClr val="accent5"/>
                      </a:fillRef>
                      <a:effectRef idx="3">
                        <a:schemeClr val="accent5"/>
                      </a:effectRef>
                      <a:fontRef idx="minor">
                        <a:schemeClr val="lt1"/>
                      </a:fontRef>
                    </a:style>
                  </a:sp>
                  <a:sp>
                    <a:nvSpPr>
                      <a:cNvPr id="12" name="右箭头 11"/>
                      <a:cNvSpPr/>
                    </a:nvSpPr>
                    <a:spPr bwMode="auto">
                      <a:xfrm>
                        <a:off x="6664211" y="1793131"/>
                        <a:ext cx="3022732" cy="1215613"/>
                      </a:xfrm>
                      <a:prstGeom prst="rightArrow">
                        <a:avLst/>
                      </a:prstGeom>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0" scaled="1"/>
                        <a:tileRect/>
                      </a:gradFill>
                      <a:ln>
                        <a:headEnd type="none" w="med" len="med"/>
                        <a:tailEnd type="none" w="med" len="med"/>
                      </a:ln>
                    </a:spPr>
                    <a:txSp>
                      <a:txBody>
                        <a:bodyP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eaLnBrk="0" hangingPunct="0">
                            <a:defRPr/>
                          </a:pPr>
                          <a:endParaRPr lang="zh-CN" altLang="en-US">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3" name="右箭头 12"/>
                      <a:cNvSpPr/>
                    </a:nvSpPr>
                    <a:spPr bwMode="auto">
                      <a:xfrm>
                        <a:off x="8471497" y="2130983"/>
                        <a:ext cx="2615622" cy="1129552"/>
                      </a:xfrm>
                      <a:prstGeom prst="rightArrow">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a:ln w="9525" cap="flat" cmpd="sng" algn="ctr">
                        <a:noFill/>
                        <a:prstDash val="solid"/>
                        <a:round/>
                        <a:headEnd type="none" w="med" len="med"/>
                        <a:tailEnd type="none" w="med" len="me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defRPr/>
                          </a:pPr>
                          <a:endParaRPr lang="zh-CN" altLang="en-US"/>
                        </a:p>
                      </a:txBody>
                      <a:useSpRect/>
                    </a:txSp>
                  </a:sp>
                  <a:sp>
                    <a:nvSpPr>
                      <a:cNvPr id="14" name="TextBox 20"/>
                      <a:cNvSpPr txBox="1">
                        <a:spLocks noChangeArrowheads="1"/>
                      </a:cNvSpPr>
                    </a:nvSpPr>
                    <a:spPr bwMode="auto">
                      <a:xfrm>
                        <a:off x="1346219" y="1363647"/>
                        <a:ext cx="1376362" cy="369888"/>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dirty="0">
                              <a:latin typeface="微软雅黑" pitchFamily="34" charset="-122"/>
                              <a:ea typeface="微软雅黑" pitchFamily="34" charset="-122"/>
                            </a:rPr>
                            <a:t>技</a:t>
                          </a:r>
                          <a:r>
                            <a:rPr lang="zh-CN" altLang="en-US" dirty="0" smtClean="0">
                              <a:latin typeface="微软雅黑" pitchFamily="34" charset="-122"/>
                              <a:ea typeface="微软雅黑" pitchFamily="34" charset="-122"/>
                            </a:rPr>
                            <a:t>术定义</a:t>
                          </a:r>
                          <a:endParaRPr lang="zh-CN" altLang="en-US" dirty="0">
                            <a:latin typeface="微软雅黑" pitchFamily="34" charset="-122"/>
                            <a:ea typeface="微软雅黑" pitchFamily="34" charset="-122"/>
                          </a:endParaRPr>
                        </a:p>
                      </a:txBody>
                      <a:useSpRect/>
                    </a:txSp>
                  </a:sp>
                  <a:sp>
                    <a:nvSpPr>
                      <a:cNvPr id="15" name="TextBox 21"/>
                      <a:cNvSpPr txBox="1">
                        <a:spLocks noChangeArrowheads="1"/>
                      </a:cNvSpPr>
                    </a:nvSpPr>
                    <a:spPr bwMode="auto">
                      <a:xfrm>
                        <a:off x="3132156" y="1673206"/>
                        <a:ext cx="1527175" cy="369888"/>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a:latin typeface="微软雅黑" pitchFamily="34" charset="-122"/>
                              <a:ea typeface="微软雅黑" pitchFamily="34" charset="-122"/>
                            </a:rPr>
                            <a:t>云端交付</a:t>
                          </a:r>
                        </a:p>
                      </a:txBody>
                      <a:useSpRect/>
                    </a:txSp>
                  </a:sp>
                  <a:sp>
                    <a:nvSpPr>
                      <a:cNvPr id="16" name="TextBox 22"/>
                      <a:cNvSpPr txBox="1">
                        <a:spLocks noChangeArrowheads="1"/>
                      </a:cNvSpPr>
                    </a:nvSpPr>
                    <a:spPr bwMode="auto">
                      <a:xfrm>
                        <a:off x="5000643" y="1954188"/>
                        <a:ext cx="1538288" cy="368300"/>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dirty="0" smtClean="0">
                              <a:latin typeface="微软雅黑" pitchFamily="34" charset="-122"/>
                              <a:ea typeface="微软雅黑" pitchFamily="34" charset="-122"/>
                            </a:rPr>
                            <a:t>跨界融</a:t>
                          </a:r>
                          <a:r>
                            <a:rPr lang="zh-CN" altLang="en-US" dirty="0">
                              <a:latin typeface="微软雅黑" pitchFamily="34" charset="-122"/>
                              <a:ea typeface="微软雅黑" pitchFamily="34" charset="-122"/>
                            </a:rPr>
                            <a:t>合</a:t>
                          </a:r>
                        </a:p>
                      </a:txBody>
                      <a:useSpRect/>
                    </a:txSp>
                  </a:sp>
                  <a:sp>
                    <a:nvSpPr>
                      <a:cNvPr id="17" name="TextBox 23"/>
                      <a:cNvSpPr txBox="1">
                        <a:spLocks noChangeArrowheads="1"/>
                      </a:cNvSpPr>
                    </a:nvSpPr>
                    <a:spPr bwMode="auto">
                      <a:xfrm>
                        <a:off x="6900880" y="2212941"/>
                        <a:ext cx="1387475" cy="369332"/>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dirty="0">
                              <a:latin typeface="微软雅黑" pitchFamily="34" charset="-122"/>
                              <a:ea typeface="微软雅黑" pitchFamily="34" charset="-122"/>
                            </a:rPr>
                            <a:t>创</a:t>
                          </a:r>
                          <a:r>
                            <a:rPr lang="zh-CN" altLang="en-US" dirty="0" smtClean="0">
                              <a:latin typeface="微软雅黑" pitchFamily="34" charset="-122"/>
                              <a:ea typeface="微软雅黑" pitchFamily="34" charset="-122"/>
                            </a:rPr>
                            <a:t>新为王</a:t>
                          </a:r>
                          <a:endParaRPr lang="zh-CN" altLang="en-US" dirty="0">
                            <a:latin typeface="微软雅黑" pitchFamily="34" charset="-122"/>
                            <a:ea typeface="微软雅黑" pitchFamily="34" charset="-122"/>
                          </a:endParaRPr>
                        </a:p>
                      </a:txBody>
                      <a:useSpRect/>
                    </a:txSp>
                  </a:sp>
                  <a:sp>
                    <a:nvSpPr>
                      <a:cNvPr id="18" name="TextBox 24"/>
                      <a:cNvSpPr txBox="1">
                        <a:spLocks noChangeArrowheads="1"/>
                      </a:cNvSpPr>
                    </a:nvSpPr>
                    <a:spPr bwMode="auto">
                      <a:xfrm>
                        <a:off x="8621730" y="2551072"/>
                        <a:ext cx="1150938" cy="368300"/>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a:latin typeface="微软雅黑" pitchFamily="34" charset="-122"/>
                              <a:ea typeface="微软雅黑" pitchFamily="34" charset="-122"/>
                            </a:rPr>
                            <a:t>并购整合</a:t>
                          </a:r>
                        </a:p>
                      </a:txBody>
                      <a:useSpRect/>
                    </a:txSp>
                  </a:sp>
                  <a:sp>
                    <a:nvSpPr>
                      <a:cNvPr id="19" name="任意多边形 18"/>
                      <a:cNvSpPr/>
                    </a:nvSpPr>
                    <a:spPr>
                      <a:xfrm>
                        <a:off x="1164592" y="4008862"/>
                        <a:ext cx="1833721" cy="1268938"/>
                      </a:xfrm>
                      <a:custGeom>
                        <a:avLst/>
                        <a:gdLst>
                          <a:gd name="connsiteX0" fmla="*/ 0 w 1877568"/>
                          <a:gd name="connsiteY0" fmla="*/ 0 h 1710248"/>
                          <a:gd name="connsiteX1" fmla="*/ 1877568 w 1877568"/>
                          <a:gd name="connsiteY1" fmla="*/ 0 h 1710248"/>
                          <a:gd name="connsiteX2" fmla="*/ 1877568 w 1877568"/>
                          <a:gd name="connsiteY2" fmla="*/ 1710248 h 1710248"/>
                          <a:gd name="connsiteX3" fmla="*/ 0 w 1877568"/>
                          <a:gd name="connsiteY3" fmla="*/ 1710248 h 1710248"/>
                          <a:gd name="connsiteX4" fmla="*/ 0 w 1877568"/>
                          <a:gd name="connsiteY4" fmla="*/ 0 h 1710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710248">
                            <a:moveTo>
                              <a:pt x="0" y="0"/>
                            </a:moveTo>
                            <a:lnTo>
                              <a:pt x="1877568" y="0"/>
                            </a:lnTo>
                            <a:lnTo>
                              <a:pt x="1877568" y="1710248"/>
                            </a:lnTo>
                            <a:lnTo>
                              <a:pt x="0" y="1710248"/>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dirty="0" smtClean="0">
                              <a:latin typeface="微软雅黑" pitchFamily="34" charset="-122"/>
                              <a:ea typeface="微软雅黑" pitchFamily="34" charset="-122"/>
                            </a:rPr>
                            <a:t>市场取代政府和人才成为驱动产业发展的根本要素</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20" name="任意多边形 19"/>
                      <a:cNvSpPr/>
                    </a:nvSpPr>
                    <a:spPr>
                      <a:xfrm>
                        <a:off x="2998683" y="4248462"/>
                        <a:ext cx="1817673" cy="1320295"/>
                      </a:xfrm>
                      <a:custGeom>
                        <a:avLst/>
                        <a:gdLst>
                          <a:gd name="connsiteX0" fmla="*/ 0 w 1877568"/>
                          <a:gd name="connsiteY0" fmla="*/ 0 h 1710248"/>
                          <a:gd name="connsiteX1" fmla="*/ 1877568 w 1877568"/>
                          <a:gd name="connsiteY1" fmla="*/ 0 h 1710248"/>
                          <a:gd name="connsiteX2" fmla="*/ 1877568 w 1877568"/>
                          <a:gd name="connsiteY2" fmla="*/ 1710248 h 1710248"/>
                          <a:gd name="connsiteX3" fmla="*/ 0 w 1877568"/>
                          <a:gd name="connsiteY3" fmla="*/ 1710248 h 1710248"/>
                          <a:gd name="connsiteX4" fmla="*/ 0 w 1877568"/>
                          <a:gd name="connsiteY4" fmla="*/ 0 h 1710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710248">
                            <a:moveTo>
                              <a:pt x="0" y="0"/>
                            </a:moveTo>
                            <a:lnTo>
                              <a:pt x="1877568" y="0"/>
                            </a:lnTo>
                            <a:lnTo>
                              <a:pt x="1877568" y="1710248"/>
                            </a:lnTo>
                            <a:lnTo>
                              <a:pt x="0" y="1710248"/>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kern="0" dirty="0" smtClean="0">
                              <a:solidFill>
                                <a:prstClr val="black">
                                  <a:hueOff val="0"/>
                                  <a:satOff val="0"/>
                                  <a:lumOff val="0"/>
                                  <a:alphaOff val="0"/>
                                </a:prstClr>
                              </a:solidFill>
                              <a:latin typeface="微软雅黑" pitchFamily="34" charset="-122"/>
                              <a:ea typeface="微软雅黑" pitchFamily="34" charset="-122"/>
                            </a:rPr>
                            <a:t>资本市场的目光集中在科技服务新兴领域</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21" name="任意多边形 20"/>
                      <a:cNvSpPr/>
                    </a:nvSpPr>
                    <a:spPr>
                      <a:xfrm>
                        <a:off x="4800504" y="4567062"/>
                        <a:ext cx="1855410" cy="1307105"/>
                      </a:xfrm>
                      <a:custGeom>
                        <a:avLst/>
                        <a:gdLst>
                          <a:gd name="connsiteX0" fmla="*/ 0 w 1877568"/>
                          <a:gd name="connsiteY0" fmla="*/ 0 h 1685219"/>
                          <a:gd name="connsiteX1" fmla="*/ 1877568 w 1877568"/>
                          <a:gd name="connsiteY1" fmla="*/ 0 h 1685219"/>
                          <a:gd name="connsiteX2" fmla="*/ 1877568 w 1877568"/>
                          <a:gd name="connsiteY2" fmla="*/ 1685219 h 1685219"/>
                          <a:gd name="connsiteX3" fmla="*/ 0 w 1877568"/>
                          <a:gd name="connsiteY3" fmla="*/ 1685219 h 1685219"/>
                          <a:gd name="connsiteX4" fmla="*/ 0 w 1877568"/>
                          <a:gd name="connsiteY4" fmla="*/ 0 h 1685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685219">
                            <a:moveTo>
                              <a:pt x="0" y="0"/>
                            </a:moveTo>
                            <a:lnTo>
                              <a:pt x="1877568" y="0"/>
                            </a:lnTo>
                            <a:lnTo>
                              <a:pt x="1877568" y="1685219"/>
                            </a:lnTo>
                            <a:lnTo>
                              <a:pt x="0" y="1685219"/>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kern="0" dirty="0" smtClean="0">
                              <a:solidFill>
                                <a:prstClr val="black">
                                  <a:hueOff val="0"/>
                                  <a:satOff val="0"/>
                                  <a:lumOff val="0"/>
                                  <a:alphaOff val="0"/>
                                </a:prstClr>
                              </a:solidFill>
                              <a:latin typeface="微软雅黑" pitchFamily="34" charset="-122"/>
                              <a:ea typeface="微软雅黑" pitchFamily="34" charset="-122"/>
                            </a:rPr>
                            <a:t>国际市场将更加重视中国战线地位</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22" name="任意多边形 21"/>
                      <a:cNvSpPr/>
                    </a:nvSpPr>
                    <a:spPr>
                      <a:xfrm>
                        <a:off x="6661750" y="4870197"/>
                        <a:ext cx="1822964" cy="1280972"/>
                      </a:xfrm>
                      <a:custGeom>
                        <a:avLst/>
                        <a:gdLst>
                          <a:gd name="connsiteX0" fmla="*/ 0 w 1877568"/>
                          <a:gd name="connsiteY0" fmla="*/ 0 h 1710248"/>
                          <a:gd name="connsiteX1" fmla="*/ 1877568 w 1877568"/>
                          <a:gd name="connsiteY1" fmla="*/ 0 h 1710248"/>
                          <a:gd name="connsiteX2" fmla="*/ 1877568 w 1877568"/>
                          <a:gd name="connsiteY2" fmla="*/ 1710248 h 1710248"/>
                          <a:gd name="connsiteX3" fmla="*/ 0 w 1877568"/>
                          <a:gd name="connsiteY3" fmla="*/ 1710248 h 1710248"/>
                          <a:gd name="connsiteX4" fmla="*/ 0 w 1877568"/>
                          <a:gd name="connsiteY4" fmla="*/ 0 h 1710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710248">
                            <a:moveTo>
                              <a:pt x="0" y="0"/>
                            </a:moveTo>
                            <a:lnTo>
                              <a:pt x="1877568" y="0"/>
                            </a:lnTo>
                            <a:lnTo>
                              <a:pt x="1877568" y="1710248"/>
                            </a:lnTo>
                            <a:lnTo>
                              <a:pt x="0" y="1710248"/>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kern="0" dirty="0" smtClean="0">
                              <a:solidFill>
                                <a:prstClr val="black">
                                  <a:hueOff val="0"/>
                                  <a:satOff val="0"/>
                                  <a:lumOff val="0"/>
                                  <a:alphaOff val="0"/>
                                </a:prstClr>
                              </a:solidFill>
                              <a:latin typeface="微软雅黑" pitchFamily="34" charset="-122"/>
                              <a:ea typeface="微软雅黑" pitchFamily="34" charset="-122"/>
                            </a:rPr>
                            <a:t>城市服务外包产业发展进入深耕阶段</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23" name="任意多边形 22"/>
                      <a:cNvSpPr/>
                    </a:nvSpPr>
                    <a:spPr>
                      <a:xfrm>
                        <a:off x="8485084" y="5118457"/>
                        <a:ext cx="2011309" cy="1313244"/>
                      </a:xfrm>
                      <a:custGeom>
                        <a:avLst/>
                        <a:gdLst>
                          <a:gd name="connsiteX0" fmla="*/ 0 w 1877568"/>
                          <a:gd name="connsiteY0" fmla="*/ 0 h 1710248"/>
                          <a:gd name="connsiteX1" fmla="*/ 1877568 w 1877568"/>
                          <a:gd name="connsiteY1" fmla="*/ 0 h 1710248"/>
                          <a:gd name="connsiteX2" fmla="*/ 1877568 w 1877568"/>
                          <a:gd name="connsiteY2" fmla="*/ 1710248 h 1710248"/>
                          <a:gd name="connsiteX3" fmla="*/ 0 w 1877568"/>
                          <a:gd name="connsiteY3" fmla="*/ 1710248 h 1710248"/>
                          <a:gd name="connsiteX4" fmla="*/ 0 w 1877568"/>
                          <a:gd name="connsiteY4" fmla="*/ 0 h 17102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7568" h="1710248">
                            <a:moveTo>
                              <a:pt x="0" y="0"/>
                            </a:moveTo>
                            <a:lnTo>
                              <a:pt x="1877568" y="0"/>
                            </a:lnTo>
                            <a:lnTo>
                              <a:pt x="1877568" y="1710248"/>
                            </a:lnTo>
                            <a:lnTo>
                              <a:pt x="0" y="1710248"/>
                            </a:lnTo>
                            <a:lnTo>
                              <a:pt x="0" y="0"/>
                            </a:lnTo>
                            <a:close/>
                          </a:path>
                        </a:pathLst>
                      </a:custGeom>
                      <a:solidFill>
                        <a:sysClr val="window" lastClr="FFFFFF">
                          <a:hueOff val="0"/>
                          <a:satOff val="0"/>
                          <a:lumOff val="0"/>
                          <a:alphaOff val="0"/>
                        </a:sysClr>
                      </a:solidFill>
                      <a:ln w="25400" cap="flat" cmpd="sng" algn="ctr">
                        <a:solidFill>
                          <a:srgbClr val="00B0F0"/>
                        </a:solidFill>
                        <a:prstDash val="solid"/>
                      </a:ln>
                      <a:effectLst>
                        <a:outerShdw blurRad="50800" dist="38100" dir="8100000" sx="106000" sy="106000" algn="tr" rotWithShape="0">
                          <a:prstClr val="black">
                            <a:alpha val="12000"/>
                          </a:prstClr>
                        </a:outerShdw>
                      </a:effectLst>
                      <a:scene3d>
                        <a:camera prst="orthographicFront"/>
                        <a:lightRig rig="balanced" dir="t"/>
                      </a:scene3d>
                      <a:sp3d extrusionH="76200">
                        <a:extrusionClr>
                          <a:srgbClr val="295AA6"/>
                        </a:extrusionClr>
                        <a:contourClr>
                          <a:sysClr val="windowText" lastClr="000000"/>
                        </a:contourClr>
                      </a:sp3d>
                    </a:spPr>
                    <a:txSp>
                      <a:txBody>
                        <a:bodyPr lIns="190500" tIns="190500" rIns="190500" bIns="190500" spcCol="1270"/>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defTabSz="2222500" fontAlgn="auto">
                            <a:lnSpc>
                              <a:spcPct val="90000"/>
                            </a:lnSpc>
                            <a:spcBef>
                              <a:spcPts val="0"/>
                            </a:spcBef>
                            <a:spcAft>
                              <a:spcPct val="35000"/>
                            </a:spcAft>
                            <a:defRPr/>
                          </a:pPr>
                          <a:r>
                            <a:rPr lang="zh-CN" altLang="en-US" kern="0" dirty="0" smtClean="0">
                              <a:solidFill>
                                <a:prstClr val="black">
                                  <a:hueOff val="0"/>
                                  <a:satOff val="0"/>
                                  <a:lumOff val="0"/>
                                  <a:alphaOff val="0"/>
                                </a:prstClr>
                              </a:solidFill>
                              <a:latin typeface="微软雅黑" pitchFamily="34" charset="-122"/>
                              <a:ea typeface="微软雅黑" pitchFamily="34" charset="-122"/>
                            </a:rPr>
                            <a:t>复合型中高端人才缺口将成为产业核心问题</a:t>
                          </a:r>
                          <a:endParaRPr lang="zh-CN" altLang="en-US" kern="0" dirty="0">
                            <a:solidFill>
                              <a:prstClr val="black">
                                <a:hueOff val="0"/>
                                <a:satOff val="0"/>
                                <a:lumOff val="0"/>
                                <a:alphaOff val="0"/>
                              </a:prstClr>
                            </a:solidFill>
                            <a:latin typeface="微软雅黑" pitchFamily="34" charset="-122"/>
                            <a:ea typeface="微软雅黑" pitchFamily="34" charset="-122"/>
                          </a:endParaRPr>
                        </a:p>
                      </a:txBody>
                      <a:useSpRect/>
                    </a:txSp>
                  </a:sp>
                  <a:sp>
                    <a:nvSpPr>
                      <a:cNvPr id="24" name="右箭头 23"/>
                      <a:cNvSpPr/>
                    </a:nvSpPr>
                    <a:spPr bwMode="auto">
                      <a:xfrm>
                        <a:off x="2966040" y="3427985"/>
                        <a:ext cx="2934709" cy="1097280"/>
                      </a:xfrm>
                      <a:prstGeom prst="rightArrow">
                        <a:avLst/>
                      </a:prstGeom>
                      <a:gradFill flip="none"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0" scaled="1"/>
                        <a:tileRect/>
                      </a:gradFill>
                      <a:ln>
                        <a:headEnd type="none" w="med" len="med"/>
                        <a:tailEnd type="none" w="med" len="med"/>
                      </a:ln>
                    </a:spPr>
                    <a:txSp>
                      <a:txBody>
                        <a:bodyP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eaLnBrk="0" hangingPunct="0">
                            <a:defRPr/>
                          </a:pPr>
                          <a:endParaRPr lang="zh-CN" altLang="en-US">
                            <a:solidFill>
                              <a:schemeClr val="tx1"/>
                            </a:solidFill>
                          </a:endParaRPr>
                        </a:p>
                      </a:txBody>
                      <a:useSpRect/>
                    </a:txSp>
                    <a:style>
                      <a:lnRef idx="0">
                        <a:schemeClr val="accent2"/>
                      </a:lnRef>
                      <a:fillRef idx="3">
                        <a:schemeClr val="accent2"/>
                      </a:fillRef>
                      <a:effectRef idx="3">
                        <a:schemeClr val="accent2"/>
                      </a:effectRef>
                      <a:fontRef idx="minor">
                        <a:schemeClr val="lt1"/>
                      </a:fontRef>
                    </a:style>
                  </a:sp>
                  <a:sp>
                    <a:nvSpPr>
                      <a:cNvPr id="25" name="右箭头 24"/>
                      <a:cNvSpPr/>
                    </a:nvSpPr>
                    <a:spPr bwMode="auto">
                      <a:xfrm>
                        <a:off x="4794840" y="3690365"/>
                        <a:ext cx="3063297" cy="1140312"/>
                      </a:xfrm>
                      <a:prstGeom prst="rightArrow">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a:ln>
                        <a:headEnd type="none" w="med" len="med"/>
                        <a:tailEnd type="none" w="med" len="med"/>
                      </a:ln>
                    </a:spPr>
                    <a:txSp>
                      <a:txBody>
                        <a:bodyP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eaLnBrk="0" hangingPunct="0">
                            <a:defRPr/>
                          </a:pPr>
                          <a:endParaRPr lang="zh-CN" altLang="en-US">
                            <a:solidFill>
                              <a:schemeClr val="tx1"/>
                            </a:solidFill>
                          </a:endParaRPr>
                        </a:p>
                      </a:txBody>
                      <a:useSpRect/>
                    </a:txSp>
                    <a:style>
                      <a:lnRef idx="0">
                        <a:schemeClr val="accent5"/>
                      </a:lnRef>
                      <a:fillRef idx="3">
                        <a:schemeClr val="accent5"/>
                      </a:fillRef>
                      <a:effectRef idx="3">
                        <a:schemeClr val="accent5"/>
                      </a:effectRef>
                      <a:fontRef idx="minor">
                        <a:schemeClr val="lt1"/>
                      </a:fontRef>
                    </a:style>
                  </a:sp>
                  <a:sp>
                    <a:nvSpPr>
                      <a:cNvPr id="26" name="右箭头 25"/>
                      <a:cNvSpPr/>
                    </a:nvSpPr>
                    <a:spPr bwMode="auto">
                      <a:xfrm>
                        <a:off x="6645155" y="3945851"/>
                        <a:ext cx="2898907" cy="1215613"/>
                      </a:xfrm>
                      <a:prstGeom prst="rightArrow">
                        <a:avLst/>
                      </a:prstGeom>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0" scaled="1"/>
                        <a:tileRect/>
                      </a:gradFill>
                      <a:ln>
                        <a:headEnd type="none" w="med" len="med"/>
                        <a:tailEnd type="none" w="med" len="med"/>
                      </a:ln>
                    </a:spPr>
                    <a:txSp>
                      <a:txBody>
                        <a:bodyP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eaLnBrk="0" hangingPunct="0">
                            <a:defRPr/>
                          </a:pPr>
                          <a:endParaRPr lang="zh-CN" altLang="en-US">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27" name="右箭头 26"/>
                      <a:cNvSpPr/>
                    </a:nvSpPr>
                    <a:spPr bwMode="auto">
                      <a:xfrm>
                        <a:off x="8452440" y="4269415"/>
                        <a:ext cx="2591809" cy="1129552"/>
                      </a:xfrm>
                      <a:prstGeom prst="rightArrow">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a:ln w="9525" cap="flat" cmpd="sng" algn="ctr">
                        <a:noFill/>
                        <a:prstDash val="solid"/>
                        <a:round/>
                        <a:headEnd type="none" w="med" len="med"/>
                        <a:tailEnd type="none" w="med" len="me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defRPr/>
                          </a:pPr>
                          <a:endParaRPr lang="zh-CN" altLang="en-US"/>
                        </a:p>
                      </a:txBody>
                      <a:useSpRect/>
                    </a:txSp>
                  </a:sp>
                  <a:sp>
                    <a:nvSpPr>
                      <a:cNvPr id="28" name="TextBox 20"/>
                      <a:cNvSpPr txBox="1">
                        <a:spLocks noChangeArrowheads="1"/>
                      </a:cNvSpPr>
                    </a:nvSpPr>
                    <a:spPr bwMode="auto">
                      <a:xfrm>
                        <a:off x="1298587" y="3531107"/>
                        <a:ext cx="1376362" cy="369888"/>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dirty="0" smtClean="0">
                              <a:latin typeface="微软雅黑" pitchFamily="34" charset="-122"/>
                              <a:ea typeface="微软雅黑" pitchFamily="34" charset="-122"/>
                            </a:rPr>
                            <a:t>市场驱动</a:t>
                          </a:r>
                          <a:endParaRPr lang="zh-CN" altLang="en-US" dirty="0">
                            <a:latin typeface="微软雅黑" pitchFamily="34" charset="-122"/>
                            <a:ea typeface="微软雅黑" pitchFamily="34" charset="-122"/>
                          </a:endParaRPr>
                        </a:p>
                      </a:txBody>
                      <a:useSpRect/>
                    </a:txSp>
                  </a:sp>
                  <a:sp>
                    <a:nvSpPr>
                      <a:cNvPr id="29" name="TextBox 21"/>
                      <a:cNvSpPr txBox="1">
                        <a:spLocks noChangeArrowheads="1"/>
                      </a:cNvSpPr>
                    </a:nvSpPr>
                    <a:spPr bwMode="auto">
                      <a:xfrm>
                        <a:off x="3084524" y="3783062"/>
                        <a:ext cx="1527175" cy="369332"/>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dirty="0" smtClean="0">
                              <a:latin typeface="微软雅黑" pitchFamily="34" charset="-122"/>
                              <a:ea typeface="微软雅黑" pitchFamily="34" charset="-122"/>
                            </a:rPr>
                            <a:t>资本转移</a:t>
                          </a:r>
                          <a:endParaRPr lang="zh-CN" altLang="en-US" dirty="0">
                            <a:latin typeface="微软雅黑" pitchFamily="34" charset="-122"/>
                            <a:ea typeface="微软雅黑" pitchFamily="34" charset="-122"/>
                          </a:endParaRPr>
                        </a:p>
                      </a:txBody>
                      <a:useSpRect/>
                    </a:txSp>
                  </a:sp>
                  <a:sp>
                    <a:nvSpPr>
                      <a:cNvPr id="30" name="TextBox 22"/>
                      <a:cNvSpPr txBox="1">
                        <a:spLocks noChangeArrowheads="1"/>
                      </a:cNvSpPr>
                    </a:nvSpPr>
                    <a:spPr bwMode="auto">
                      <a:xfrm>
                        <a:off x="4967299" y="4078332"/>
                        <a:ext cx="1538288" cy="369332"/>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dirty="0" smtClean="0">
                              <a:latin typeface="微软雅黑" pitchFamily="34" charset="-122"/>
                              <a:ea typeface="微软雅黑" pitchFamily="34" charset="-122"/>
                            </a:rPr>
                            <a:t>离岸回暖</a:t>
                          </a:r>
                          <a:endParaRPr lang="zh-CN" altLang="en-US" dirty="0">
                            <a:latin typeface="微软雅黑" pitchFamily="34" charset="-122"/>
                            <a:ea typeface="微软雅黑" pitchFamily="34" charset="-122"/>
                          </a:endParaRPr>
                        </a:p>
                      </a:txBody>
                      <a:useSpRect/>
                    </a:txSp>
                  </a:sp>
                  <a:sp>
                    <a:nvSpPr>
                      <a:cNvPr id="31" name="TextBox 23"/>
                      <a:cNvSpPr txBox="1">
                        <a:spLocks noChangeArrowheads="1"/>
                      </a:cNvSpPr>
                    </a:nvSpPr>
                    <a:spPr bwMode="auto">
                      <a:xfrm>
                        <a:off x="6881824" y="4365661"/>
                        <a:ext cx="1387475" cy="368300"/>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dirty="0" smtClean="0">
                              <a:latin typeface="微软雅黑" pitchFamily="34" charset="-122"/>
                              <a:ea typeface="微软雅黑" pitchFamily="34" charset="-122"/>
                            </a:rPr>
                            <a:t>城市运营</a:t>
                          </a:r>
                          <a:endParaRPr lang="zh-CN" altLang="en-US" dirty="0">
                            <a:latin typeface="微软雅黑" pitchFamily="34" charset="-122"/>
                            <a:ea typeface="微软雅黑" pitchFamily="34" charset="-122"/>
                          </a:endParaRPr>
                        </a:p>
                      </a:txBody>
                      <a:useSpRect/>
                    </a:txSp>
                  </a:sp>
                  <a:sp>
                    <a:nvSpPr>
                      <a:cNvPr id="32" name="TextBox 24"/>
                      <a:cNvSpPr txBox="1">
                        <a:spLocks noChangeArrowheads="1"/>
                      </a:cNvSpPr>
                    </a:nvSpPr>
                    <a:spPr bwMode="auto">
                      <a:xfrm>
                        <a:off x="8602674" y="4689504"/>
                        <a:ext cx="1150938" cy="369332"/>
                      </a:xfrm>
                      <a:prstGeom prst="rect">
                        <a:avLst/>
                      </a:prstGeom>
                      <a:noFill/>
                      <a:ln w="9525">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r>
                            <a:rPr lang="zh-CN" altLang="en-US" dirty="0" smtClean="0">
                              <a:latin typeface="微软雅黑" pitchFamily="34" charset="-122"/>
                              <a:ea typeface="微软雅黑" pitchFamily="34" charset="-122"/>
                            </a:rPr>
                            <a:t>人才争夺</a:t>
                          </a:r>
                          <a:endParaRPr lang="zh-CN" altLang="en-US" dirty="0">
                            <a:latin typeface="微软雅黑" pitchFamily="34" charset="-122"/>
                            <a:ea typeface="微软雅黑" pitchFamily="34" charset="-122"/>
                          </a:endParaRPr>
                        </a:p>
                      </a:txBody>
                      <a:useSpRect/>
                    </a:txSp>
                  </a:sp>
                </lc:lockedCanvas>
              </a:graphicData>
            </a:graphic>
          </wp:inline>
        </w:drawing>
      </w:r>
    </w:p>
    <w:p w:rsidR="008B2E71" w:rsidRPr="00B42FC8" w:rsidRDefault="008B2E71" w:rsidP="00B42FC8">
      <w:pPr>
        <w:spacing w:line="360" w:lineRule="auto"/>
        <w:ind w:firstLine="420"/>
        <w:rPr>
          <w:rFonts w:ascii="微软雅黑" w:eastAsia="微软雅黑" w:hAnsi="微软雅黑" w:cs="宋体"/>
          <w:color w:val="000000" w:themeColor="text1"/>
          <w:kern w:val="0"/>
          <w:szCs w:val="24"/>
        </w:rPr>
      </w:pPr>
    </w:p>
    <w:p w:rsidR="007F4EB5" w:rsidRPr="007F4EB5" w:rsidRDefault="007F4EB5" w:rsidP="001925DE">
      <w:pPr>
        <w:spacing w:line="480" w:lineRule="auto"/>
        <w:ind w:leftChars="200" w:left="480"/>
        <w:rPr>
          <w:rFonts w:ascii="Cambria" w:hAnsi="Cambria"/>
          <w:b/>
          <w:bCs/>
          <w:sz w:val="28"/>
          <w:szCs w:val="28"/>
          <w:shd w:val="clear" w:color="auto" w:fill="FFFFFF"/>
        </w:rPr>
      </w:pPr>
    </w:p>
    <w:p w:rsidR="00E413D1" w:rsidRDefault="007F4EB5" w:rsidP="00B42FC8">
      <w:pPr>
        <w:pStyle w:val="4"/>
        <w:spacing w:line="360" w:lineRule="auto"/>
        <w:rPr>
          <w:rFonts w:ascii="黑体" w:eastAsia="黑体"/>
          <w:sz w:val="30"/>
          <w:szCs w:val="30"/>
        </w:rPr>
      </w:pPr>
      <w:bookmarkStart w:id="24" w:name="_Toc402948448"/>
      <w:r w:rsidRPr="007F4EB5">
        <w:rPr>
          <w:rFonts w:ascii="黑体" w:eastAsia="黑体" w:hint="eastAsia"/>
          <w:sz w:val="30"/>
          <w:szCs w:val="30"/>
        </w:rPr>
        <w:lastRenderedPageBreak/>
        <w:t>服务外包发展趋势——城市服务外包产业发展进入深耕阶段</w:t>
      </w:r>
      <w:bookmarkEnd w:id="24"/>
    </w:p>
    <w:p w:rsidR="00E413D1" w:rsidRDefault="007F4EB5" w:rsidP="007F4EB5">
      <w:pPr>
        <w:widowControl/>
        <w:spacing w:line="360" w:lineRule="auto"/>
        <w:ind w:firstLine="465"/>
        <w:jc w:val="left"/>
        <w:rPr>
          <w:rFonts w:ascii="微软雅黑" w:eastAsia="微软雅黑" w:hAnsi="微软雅黑" w:cs="宋体"/>
          <w:color w:val="000000" w:themeColor="text1"/>
          <w:kern w:val="0"/>
          <w:szCs w:val="24"/>
        </w:rPr>
      </w:pPr>
      <w:r w:rsidRPr="007F4EB5">
        <w:rPr>
          <w:rFonts w:ascii="微软雅黑" w:eastAsia="微软雅黑" w:hAnsi="微软雅黑" w:cs="宋体" w:hint="eastAsia"/>
          <w:color w:val="000000" w:themeColor="text1"/>
          <w:kern w:val="0"/>
          <w:szCs w:val="24"/>
        </w:rPr>
        <w:t>产业的升级发展以及空闲产业楼宇的运营将成为城市及园区发展面临的两个核心问题，粗放式经营已经无法维持产业的发展，创新化而专业化的运营成为城市产业持续发展的关键。</w:t>
      </w:r>
    </w:p>
    <w:p w:rsidR="007F4EB5" w:rsidRDefault="007F4EB5" w:rsidP="007F4EB5">
      <w:pPr>
        <w:widowControl/>
        <w:spacing w:line="360" w:lineRule="auto"/>
        <w:ind w:firstLine="465"/>
        <w:jc w:val="left"/>
        <w:rPr>
          <w:rFonts w:ascii="微软雅黑" w:eastAsia="微软雅黑" w:hAnsi="微软雅黑" w:cs="宋体"/>
          <w:color w:val="000000" w:themeColor="text1"/>
          <w:kern w:val="0"/>
          <w:szCs w:val="24"/>
        </w:rPr>
      </w:pPr>
      <w:r w:rsidRPr="007F4EB5">
        <w:rPr>
          <w:rFonts w:ascii="微软雅黑" w:eastAsia="微软雅黑" w:hAnsi="微软雅黑" w:cs="宋体"/>
          <w:noProof/>
          <w:color w:val="000000" w:themeColor="text1"/>
          <w:kern w:val="0"/>
          <w:szCs w:val="24"/>
        </w:rPr>
        <w:drawing>
          <wp:inline distT="0" distB="0" distL="0" distR="0">
            <wp:extent cx="8267700" cy="3724275"/>
            <wp:effectExtent l="19050" t="0" r="0" b="0"/>
            <wp:docPr id="51"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3375" cy="4156075"/>
                      <a:chOff x="1312845" y="2397131"/>
                      <a:chExt cx="9223375" cy="4156075"/>
                    </a:xfrm>
                  </a:grpSpPr>
                  <a:grpSp>
                    <a:nvGrpSpPr>
                      <a:cNvPr id="5" name="组合 3"/>
                      <a:cNvGrpSpPr>
                        <a:grpSpLocks/>
                      </a:cNvGrpSpPr>
                    </a:nvGrpSpPr>
                    <a:grpSpPr bwMode="auto">
                      <a:xfrm>
                        <a:off x="1312845" y="2397131"/>
                        <a:ext cx="9223375" cy="4156075"/>
                        <a:chOff x="714375" y="1143784"/>
                        <a:chExt cx="8013261" cy="4545013"/>
                      </a:xfrm>
                    </a:grpSpPr>
                    <a:sp>
                      <a:nvSpPr>
                        <a:cNvPr id="6" name="AutoShape 2"/>
                        <a:cNvSpPr>
                          <a:spLocks noChangeArrowheads="1"/>
                        </a:cNvSpPr>
                      </a:nvSpPr>
                      <a:spPr bwMode="gray">
                        <a:xfrm>
                          <a:off x="714375" y="2445081"/>
                          <a:ext cx="2770188" cy="336550"/>
                        </a:xfrm>
                        <a:prstGeom prst="roundRect">
                          <a:avLst>
                            <a:gd name="adj" fmla="val 50000"/>
                          </a:avLst>
                        </a:prstGeom>
                        <a:solidFill>
                          <a:schemeClr val="accent2"/>
                        </a:solidFill>
                        <a:ln w="57150" algn="ctr">
                          <a:no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grpSp>
                      <a:nvGrpSpPr>
                        <a:cNvPr id="4" name="Group 4"/>
                        <a:cNvGrpSpPr>
                          <a:grpSpLocks/>
                        </a:cNvGrpSpPr>
                      </a:nvGrpSpPr>
                      <a:grpSpPr bwMode="auto">
                        <a:xfrm>
                          <a:off x="3611563" y="2118509"/>
                          <a:ext cx="2095500" cy="2681288"/>
                          <a:chOff x="1922" y="1614"/>
                          <a:chExt cx="1320" cy="1689"/>
                        </a:xfrm>
                      </a:grpSpPr>
                      <a:sp>
                        <a:nvSpPr>
                          <a:cNvPr id="23" name="Freeform 5"/>
                          <a:cNvSpPr>
                            <a:spLocks/>
                          </a:cNvSpPr>
                        </a:nvSpPr>
                        <a:spPr bwMode="gray">
                          <a:xfrm>
                            <a:off x="1922" y="1875"/>
                            <a:ext cx="654" cy="1428"/>
                          </a:xfrm>
                          <a:custGeom>
                            <a:avLst/>
                            <a:gdLst>
                              <a:gd name="T0" fmla="*/ 1 w 654"/>
                              <a:gd name="T1" fmla="*/ 0 h 1428"/>
                              <a:gd name="T2" fmla="*/ 117 w 654"/>
                              <a:gd name="T3" fmla="*/ 110 h 1428"/>
                              <a:gd name="T4" fmla="*/ 117 w 654"/>
                              <a:gd name="T5" fmla="*/ 1026 h 1428"/>
                              <a:gd name="T6" fmla="*/ 649 w 654"/>
                              <a:gd name="T7" fmla="*/ 1241 h 1428"/>
                              <a:gd name="T8" fmla="*/ 654 w 654"/>
                              <a:gd name="T9" fmla="*/ 1428 h 1428"/>
                              <a:gd name="T10" fmla="*/ 0 w 654"/>
                              <a:gd name="T11" fmla="*/ 1128 h 1428"/>
                              <a:gd name="T12" fmla="*/ 1 w 654"/>
                              <a:gd name="T13" fmla="*/ 0 h 1428"/>
                              <a:gd name="T14" fmla="*/ 0 60000 65536"/>
                              <a:gd name="T15" fmla="*/ 0 60000 65536"/>
                              <a:gd name="T16" fmla="*/ 0 60000 65536"/>
                              <a:gd name="T17" fmla="*/ 0 60000 65536"/>
                              <a:gd name="T18" fmla="*/ 0 60000 65536"/>
                              <a:gd name="T19" fmla="*/ 0 60000 65536"/>
                              <a:gd name="T20" fmla="*/ 0 60000 65536"/>
                              <a:gd name="T21" fmla="*/ 0 w 654"/>
                              <a:gd name="T22" fmla="*/ 0 h 1428"/>
                              <a:gd name="T23" fmla="*/ 654 w 654"/>
                              <a:gd name="T24" fmla="*/ 1428 h 14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54" h="1428">
                                <a:moveTo>
                                  <a:pt x="1" y="0"/>
                                </a:moveTo>
                                <a:lnTo>
                                  <a:pt x="117" y="110"/>
                                </a:lnTo>
                                <a:lnTo>
                                  <a:pt x="117" y="1026"/>
                                </a:lnTo>
                                <a:lnTo>
                                  <a:pt x="649" y="1241"/>
                                </a:lnTo>
                                <a:lnTo>
                                  <a:pt x="654" y="1428"/>
                                </a:lnTo>
                                <a:lnTo>
                                  <a:pt x="0" y="1128"/>
                                </a:lnTo>
                                <a:lnTo>
                                  <a:pt x="1" y="0"/>
                                </a:lnTo>
                                <a:close/>
                              </a:path>
                            </a:pathLst>
                          </a:custGeom>
                          <a:solidFill>
                            <a:srgbClr val="FBC631"/>
                          </a:solidFill>
                          <a:ln w="9525">
                            <a:no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sp>
                        <a:nvSpPr>
                          <a:cNvPr id="24" name="Freeform 6"/>
                          <a:cNvSpPr>
                            <a:spLocks/>
                          </a:cNvSpPr>
                        </a:nvSpPr>
                        <a:spPr bwMode="gray">
                          <a:xfrm>
                            <a:off x="2571" y="1880"/>
                            <a:ext cx="671" cy="1422"/>
                          </a:xfrm>
                          <a:custGeom>
                            <a:avLst/>
                            <a:gdLst>
                              <a:gd name="T0" fmla="*/ 654 w 671"/>
                              <a:gd name="T1" fmla="*/ 0 h 1422"/>
                              <a:gd name="T2" fmla="*/ 516 w 671"/>
                              <a:gd name="T3" fmla="*/ 111 h 1422"/>
                              <a:gd name="T4" fmla="*/ 519 w 671"/>
                              <a:gd name="T5" fmla="*/ 1008 h 1422"/>
                              <a:gd name="T6" fmla="*/ 0 w 671"/>
                              <a:gd name="T7" fmla="*/ 1237 h 1422"/>
                              <a:gd name="T8" fmla="*/ 2 w 671"/>
                              <a:gd name="T9" fmla="*/ 1422 h 1422"/>
                              <a:gd name="T10" fmla="*/ 671 w 671"/>
                              <a:gd name="T11" fmla="*/ 1114 h 1422"/>
                              <a:gd name="T12" fmla="*/ 654 w 671"/>
                              <a:gd name="T13" fmla="*/ 0 h 1422"/>
                              <a:gd name="T14" fmla="*/ 0 60000 65536"/>
                              <a:gd name="T15" fmla="*/ 0 60000 65536"/>
                              <a:gd name="T16" fmla="*/ 0 60000 65536"/>
                              <a:gd name="T17" fmla="*/ 0 60000 65536"/>
                              <a:gd name="T18" fmla="*/ 0 60000 65536"/>
                              <a:gd name="T19" fmla="*/ 0 60000 65536"/>
                              <a:gd name="T20" fmla="*/ 0 60000 65536"/>
                              <a:gd name="T21" fmla="*/ 0 w 671"/>
                              <a:gd name="T22" fmla="*/ 0 h 1422"/>
                              <a:gd name="T23" fmla="*/ 671 w 671"/>
                              <a:gd name="T24" fmla="*/ 1422 h 14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71" h="1422">
                                <a:moveTo>
                                  <a:pt x="654" y="0"/>
                                </a:moveTo>
                                <a:lnTo>
                                  <a:pt x="516" y="111"/>
                                </a:lnTo>
                                <a:lnTo>
                                  <a:pt x="519" y="1008"/>
                                </a:lnTo>
                                <a:lnTo>
                                  <a:pt x="0" y="1237"/>
                                </a:lnTo>
                                <a:lnTo>
                                  <a:pt x="2" y="1422"/>
                                </a:lnTo>
                                <a:lnTo>
                                  <a:pt x="671" y="1114"/>
                                </a:lnTo>
                                <a:lnTo>
                                  <a:pt x="654" y="0"/>
                                </a:lnTo>
                                <a:close/>
                              </a:path>
                            </a:pathLst>
                          </a:custGeom>
                          <a:solidFill>
                            <a:srgbClr val="FBE2AF"/>
                          </a:solidFill>
                          <a:ln w="9525">
                            <a:no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sp>
                        <a:nvSpPr>
                          <a:cNvPr id="25" name="Freeform 7"/>
                          <a:cNvSpPr>
                            <a:spLocks/>
                          </a:cNvSpPr>
                        </a:nvSpPr>
                        <a:spPr bwMode="gray">
                          <a:xfrm>
                            <a:off x="1923" y="1614"/>
                            <a:ext cx="1304" cy="377"/>
                          </a:xfrm>
                          <a:custGeom>
                            <a:avLst/>
                            <a:gdLst>
                              <a:gd name="T0" fmla="*/ 0 w 1304"/>
                              <a:gd name="T1" fmla="*/ 261 h 377"/>
                              <a:gd name="T2" fmla="*/ 117 w 1304"/>
                              <a:gd name="T3" fmla="*/ 374 h 377"/>
                              <a:gd name="T4" fmla="*/ 638 w 1304"/>
                              <a:gd name="T5" fmla="*/ 155 h 377"/>
                              <a:gd name="T6" fmla="*/ 1164 w 1304"/>
                              <a:gd name="T7" fmla="*/ 377 h 377"/>
                              <a:gd name="T8" fmla="*/ 1304 w 1304"/>
                              <a:gd name="T9" fmla="*/ 266 h 377"/>
                              <a:gd name="T10" fmla="*/ 633 w 1304"/>
                              <a:gd name="T11" fmla="*/ 0 h 377"/>
                              <a:gd name="T12" fmla="*/ 0 w 1304"/>
                              <a:gd name="T13" fmla="*/ 261 h 377"/>
                              <a:gd name="T14" fmla="*/ 0 60000 65536"/>
                              <a:gd name="T15" fmla="*/ 0 60000 65536"/>
                              <a:gd name="T16" fmla="*/ 0 60000 65536"/>
                              <a:gd name="T17" fmla="*/ 0 60000 65536"/>
                              <a:gd name="T18" fmla="*/ 0 60000 65536"/>
                              <a:gd name="T19" fmla="*/ 0 60000 65536"/>
                              <a:gd name="T20" fmla="*/ 0 60000 65536"/>
                              <a:gd name="T21" fmla="*/ 0 w 1304"/>
                              <a:gd name="T22" fmla="*/ 0 h 377"/>
                              <a:gd name="T23" fmla="*/ 1304 w 1304"/>
                              <a:gd name="T24" fmla="*/ 377 h 37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04" h="377">
                                <a:moveTo>
                                  <a:pt x="0" y="261"/>
                                </a:moveTo>
                                <a:lnTo>
                                  <a:pt x="117" y="374"/>
                                </a:lnTo>
                                <a:lnTo>
                                  <a:pt x="638" y="155"/>
                                </a:lnTo>
                                <a:lnTo>
                                  <a:pt x="1164" y="377"/>
                                </a:lnTo>
                                <a:lnTo>
                                  <a:pt x="1304" y="266"/>
                                </a:lnTo>
                                <a:lnTo>
                                  <a:pt x="633" y="0"/>
                                </a:lnTo>
                                <a:lnTo>
                                  <a:pt x="0" y="261"/>
                                </a:lnTo>
                                <a:close/>
                              </a:path>
                            </a:pathLst>
                          </a:custGeom>
                          <a:solidFill>
                            <a:srgbClr val="FEFBD6"/>
                          </a:solidFill>
                          <a:ln w="9525">
                            <a:no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sp>
                        <a:nvSpPr>
                          <a:cNvPr id="26" name="Freeform 8"/>
                          <a:cNvSpPr>
                            <a:spLocks/>
                          </a:cNvSpPr>
                        </a:nvSpPr>
                        <a:spPr bwMode="gray">
                          <a:xfrm>
                            <a:off x="2037" y="1768"/>
                            <a:ext cx="529" cy="1133"/>
                          </a:xfrm>
                          <a:custGeom>
                            <a:avLst/>
                            <a:gdLst>
                              <a:gd name="T0" fmla="*/ 2 w 529"/>
                              <a:gd name="T1" fmla="*/ 218 h 1133"/>
                              <a:gd name="T2" fmla="*/ 0 w 529"/>
                              <a:gd name="T3" fmla="*/ 1133 h 1133"/>
                              <a:gd name="T4" fmla="*/ 529 w 529"/>
                              <a:gd name="T5" fmla="*/ 878 h 1133"/>
                              <a:gd name="T6" fmla="*/ 524 w 529"/>
                              <a:gd name="T7" fmla="*/ 0 h 1133"/>
                              <a:gd name="T8" fmla="*/ 2 w 529"/>
                              <a:gd name="T9" fmla="*/ 218 h 1133"/>
                              <a:gd name="T10" fmla="*/ 0 60000 65536"/>
                              <a:gd name="T11" fmla="*/ 0 60000 65536"/>
                              <a:gd name="T12" fmla="*/ 0 60000 65536"/>
                              <a:gd name="T13" fmla="*/ 0 60000 65536"/>
                              <a:gd name="T14" fmla="*/ 0 60000 65536"/>
                              <a:gd name="T15" fmla="*/ 0 w 529"/>
                              <a:gd name="T16" fmla="*/ 0 h 1133"/>
                              <a:gd name="T17" fmla="*/ 529 w 529"/>
                              <a:gd name="T18" fmla="*/ 1133 h 1133"/>
                            </a:gdLst>
                            <a:ahLst/>
                            <a:cxnLst>
                              <a:cxn ang="T10">
                                <a:pos x="T0" y="T1"/>
                              </a:cxn>
                              <a:cxn ang="T11">
                                <a:pos x="T2" y="T3"/>
                              </a:cxn>
                              <a:cxn ang="T12">
                                <a:pos x="T4" y="T5"/>
                              </a:cxn>
                              <a:cxn ang="T13">
                                <a:pos x="T6" y="T7"/>
                              </a:cxn>
                              <a:cxn ang="T14">
                                <a:pos x="T8" y="T9"/>
                              </a:cxn>
                            </a:cxnLst>
                            <a:rect l="T15" t="T16" r="T17" b="T18"/>
                            <a:pathLst>
                              <a:path w="529" h="1133">
                                <a:moveTo>
                                  <a:pt x="2" y="218"/>
                                </a:moveTo>
                                <a:lnTo>
                                  <a:pt x="0" y="1133"/>
                                </a:lnTo>
                                <a:lnTo>
                                  <a:pt x="529" y="878"/>
                                </a:lnTo>
                                <a:lnTo>
                                  <a:pt x="524" y="0"/>
                                </a:lnTo>
                                <a:lnTo>
                                  <a:pt x="2" y="218"/>
                                </a:lnTo>
                                <a:close/>
                              </a:path>
                            </a:pathLst>
                          </a:custGeom>
                          <a:solidFill>
                            <a:srgbClr val="FDEBBD"/>
                          </a:solidFill>
                          <a:ln w="9525">
                            <a:no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sp>
                        <a:nvSpPr>
                          <a:cNvPr id="27" name="Freeform 9"/>
                          <a:cNvSpPr>
                            <a:spLocks/>
                          </a:cNvSpPr>
                        </a:nvSpPr>
                        <a:spPr bwMode="gray">
                          <a:xfrm>
                            <a:off x="2562" y="1769"/>
                            <a:ext cx="528" cy="1123"/>
                          </a:xfrm>
                          <a:custGeom>
                            <a:avLst/>
                            <a:gdLst>
                              <a:gd name="T0" fmla="*/ 527 w 528"/>
                              <a:gd name="T1" fmla="*/ 222 h 1123"/>
                              <a:gd name="T2" fmla="*/ 528 w 528"/>
                              <a:gd name="T3" fmla="*/ 1123 h 1123"/>
                              <a:gd name="T4" fmla="*/ 0 w 528"/>
                              <a:gd name="T5" fmla="*/ 879 h 1123"/>
                              <a:gd name="T6" fmla="*/ 0 w 528"/>
                              <a:gd name="T7" fmla="*/ 0 h 1123"/>
                              <a:gd name="T8" fmla="*/ 527 w 528"/>
                              <a:gd name="T9" fmla="*/ 222 h 1123"/>
                              <a:gd name="T10" fmla="*/ 0 60000 65536"/>
                              <a:gd name="T11" fmla="*/ 0 60000 65536"/>
                              <a:gd name="T12" fmla="*/ 0 60000 65536"/>
                              <a:gd name="T13" fmla="*/ 0 60000 65536"/>
                              <a:gd name="T14" fmla="*/ 0 60000 65536"/>
                              <a:gd name="T15" fmla="*/ 0 w 528"/>
                              <a:gd name="T16" fmla="*/ 0 h 1123"/>
                              <a:gd name="T17" fmla="*/ 528 w 528"/>
                              <a:gd name="T18" fmla="*/ 1123 h 1123"/>
                            </a:gdLst>
                            <a:ahLst/>
                            <a:cxnLst>
                              <a:cxn ang="T10">
                                <a:pos x="T0" y="T1"/>
                              </a:cxn>
                              <a:cxn ang="T11">
                                <a:pos x="T2" y="T3"/>
                              </a:cxn>
                              <a:cxn ang="T12">
                                <a:pos x="T4" y="T5"/>
                              </a:cxn>
                              <a:cxn ang="T13">
                                <a:pos x="T6" y="T7"/>
                              </a:cxn>
                              <a:cxn ang="T14">
                                <a:pos x="T8" y="T9"/>
                              </a:cxn>
                            </a:cxnLst>
                            <a:rect l="T15" t="T16" r="T17" b="T18"/>
                            <a:pathLst>
                              <a:path w="528" h="1123">
                                <a:moveTo>
                                  <a:pt x="527" y="222"/>
                                </a:moveTo>
                                <a:lnTo>
                                  <a:pt x="528" y="1123"/>
                                </a:lnTo>
                                <a:lnTo>
                                  <a:pt x="0" y="879"/>
                                </a:lnTo>
                                <a:lnTo>
                                  <a:pt x="0" y="0"/>
                                </a:lnTo>
                                <a:lnTo>
                                  <a:pt x="527" y="222"/>
                                </a:lnTo>
                                <a:close/>
                              </a:path>
                            </a:pathLst>
                          </a:custGeom>
                          <a:solidFill>
                            <a:srgbClr val="FBC631"/>
                          </a:solidFill>
                          <a:ln w="9525">
                            <a:no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sp>
                        <a:nvSpPr>
                          <a:cNvPr id="28" name="Freeform 10"/>
                          <a:cNvSpPr>
                            <a:spLocks/>
                          </a:cNvSpPr>
                        </a:nvSpPr>
                        <a:spPr bwMode="gray">
                          <a:xfrm>
                            <a:off x="2034" y="2648"/>
                            <a:ext cx="1061" cy="469"/>
                          </a:xfrm>
                          <a:custGeom>
                            <a:avLst/>
                            <a:gdLst>
                              <a:gd name="T0" fmla="*/ 527 w 1061"/>
                              <a:gd name="T1" fmla="*/ 0 h 469"/>
                              <a:gd name="T2" fmla="*/ 0 w 1061"/>
                              <a:gd name="T3" fmla="*/ 252 h 469"/>
                              <a:gd name="T4" fmla="*/ 537 w 1061"/>
                              <a:gd name="T5" fmla="*/ 469 h 469"/>
                              <a:gd name="T6" fmla="*/ 1061 w 1061"/>
                              <a:gd name="T7" fmla="*/ 241 h 469"/>
                              <a:gd name="T8" fmla="*/ 527 w 1061"/>
                              <a:gd name="T9" fmla="*/ 0 h 469"/>
                              <a:gd name="T10" fmla="*/ 0 60000 65536"/>
                              <a:gd name="T11" fmla="*/ 0 60000 65536"/>
                              <a:gd name="T12" fmla="*/ 0 60000 65536"/>
                              <a:gd name="T13" fmla="*/ 0 60000 65536"/>
                              <a:gd name="T14" fmla="*/ 0 60000 65536"/>
                              <a:gd name="T15" fmla="*/ 0 w 1061"/>
                              <a:gd name="T16" fmla="*/ 0 h 469"/>
                              <a:gd name="T17" fmla="*/ 1061 w 1061"/>
                              <a:gd name="T18" fmla="*/ 469 h 469"/>
                            </a:gdLst>
                            <a:ahLst/>
                            <a:cxnLst>
                              <a:cxn ang="T10">
                                <a:pos x="T0" y="T1"/>
                              </a:cxn>
                              <a:cxn ang="T11">
                                <a:pos x="T2" y="T3"/>
                              </a:cxn>
                              <a:cxn ang="T12">
                                <a:pos x="T4" y="T5"/>
                              </a:cxn>
                              <a:cxn ang="T13">
                                <a:pos x="T6" y="T7"/>
                              </a:cxn>
                              <a:cxn ang="T14">
                                <a:pos x="T8" y="T9"/>
                              </a:cxn>
                            </a:cxnLst>
                            <a:rect l="T15" t="T16" r="T17" b="T18"/>
                            <a:pathLst>
                              <a:path w="1061" h="469">
                                <a:moveTo>
                                  <a:pt x="527" y="0"/>
                                </a:moveTo>
                                <a:lnTo>
                                  <a:pt x="0" y="252"/>
                                </a:lnTo>
                                <a:lnTo>
                                  <a:pt x="537" y="469"/>
                                </a:lnTo>
                                <a:lnTo>
                                  <a:pt x="1061" y="241"/>
                                </a:lnTo>
                                <a:lnTo>
                                  <a:pt x="527" y="0"/>
                                </a:lnTo>
                                <a:close/>
                              </a:path>
                            </a:pathLst>
                          </a:custGeom>
                          <a:solidFill>
                            <a:srgbClr val="FEEBBC"/>
                          </a:solidFill>
                          <a:ln w="9525">
                            <a:no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grpSp>
                    <a:sp>
                      <a:nvSpPr>
                        <a:cNvPr id="8" name="Line 11"/>
                        <a:cNvSpPr>
                          <a:spLocks noChangeShapeType="1"/>
                        </a:cNvSpPr>
                      </a:nvSpPr>
                      <a:spPr bwMode="auto">
                        <a:xfrm flipV="1">
                          <a:off x="2206625" y="4298147"/>
                          <a:ext cx="1422400" cy="1387475"/>
                        </a:xfrm>
                        <a:prstGeom prst="line">
                          <a:avLst/>
                        </a:prstGeom>
                        <a:noFill/>
                        <a:ln w="12700">
                          <a:solidFill>
                            <a:srgbClr val="977003"/>
                          </a:solid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endParaRPr lang="zh-CN" altLang="en-US"/>
                          </a:p>
                        </a:txBody>
                        <a:useSpRect/>
                      </a:txSp>
                    </a:sp>
                    <a:sp>
                      <a:nvSpPr>
                        <a:cNvPr id="9" name="Line 12"/>
                        <a:cNvSpPr>
                          <a:spLocks noChangeShapeType="1"/>
                        </a:cNvSpPr>
                      </a:nvSpPr>
                      <a:spPr bwMode="auto">
                        <a:xfrm flipH="1" flipV="1">
                          <a:off x="5708650" y="4301322"/>
                          <a:ext cx="1422400" cy="1387475"/>
                        </a:xfrm>
                        <a:prstGeom prst="line">
                          <a:avLst/>
                        </a:prstGeom>
                        <a:noFill/>
                        <a:ln w="12700">
                          <a:solidFill>
                            <a:srgbClr val="977003"/>
                          </a:solid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endParaRPr lang="zh-CN" altLang="en-US"/>
                          </a:p>
                        </a:txBody>
                        <a:useSpRect/>
                      </a:txSp>
                    </a:sp>
                    <a:sp>
                      <a:nvSpPr>
                        <a:cNvPr id="10" name="Line 13"/>
                        <a:cNvSpPr>
                          <a:spLocks noChangeShapeType="1"/>
                        </a:cNvSpPr>
                      </a:nvSpPr>
                      <a:spPr bwMode="auto">
                        <a:xfrm flipV="1">
                          <a:off x="5681663" y="1150134"/>
                          <a:ext cx="1422400" cy="1387475"/>
                        </a:xfrm>
                        <a:prstGeom prst="line">
                          <a:avLst/>
                        </a:prstGeom>
                        <a:noFill/>
                        <a:ln w="12700">
                          <a:solidFill>
                            <a:srgbClr val="977003"/>
                          </a:solid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endParaRPr lang="zh-CN" altLang="en-US"/>
                          </a:p>
                        </a:txBody>
                        <a:useSpRect/>
                      </a:txSp>
                    </a:sp>
                    <a:sp>
                      <a:nvSpPr>
                        <a:cNvPr id="11" name="Line 14"/>
                        <a:cNvSpPr>
                          <a:spLocks noChangeShapeType="1"/>
                        </a:cNvSpPr>
                      </a:nvSpPr>
                      <a:spPr bwMode="auto">
                        <a:xfrm flipH="1" flipV="1">
                          <a:off x="2195513" y="1143784"/>
                          <a:ext cx="1422400" cy="1387475"/>
                        </a:xfrm>
                        <a:prstGeom prst="line">
                          <a:avLst/>
                        </a:prstGeom>
                        <a:noFill/>
                        <a:ln w="12700">
                          <a:solidFill>
                            <a:srgbClr val="977003"/>
                          </a:solid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endParaRPr lang="zh-CN" altLang="en-US"/>
                          </a:p>
                        </a:txBody>
                        <a:useSpRect/>
                      </a:txSp>
                    </a:sp>
                    <a:pic>
                      <a:nvPicPr>
                        <a:cNvPr id="12" name="Picture 15" descr="light_shadow"/>
                        <a:cNvPicPr>
                          <a:picLocks noChangeAspect="1" noChangeArrowheads="1"/>
                        </a:cNvPicPr>
                      </a:nvPicPr>
                      <a:blipFill>
                        <a:blip r:embed="rId36">
                          <a:lum bright="-78000" contrast="-78000"/>
                        </a:blip>
                        <a:srcRect/>
                        <a:stretch>
                          <a:fillRect/>
                        </a:stretch>
                      </a:blipFill>
                      <a:spPr bwMode="gray">
                        <a:xfrm>
                          <a:off x="4014788" y="4018747"/>
                          <a:ext cx="1216025" cy="347662"/>
                        </a:xfrm>
                        <a:prstGeom prst="rect">
                          <a:avLst/>
                        </a:prstGeom>
                        <a:noFill/>
                        <a:ln w="9525">
                          <a:noFill/>
                          <a:miter lim="800000"/>
                          <a:headEnd/>
                          <a:tailEnd/>
                        </a:ln>
                      </a:spPr>
                    </a:pic>
                    <a:pic>
                      <a:nvPicPr>
                        <a:cNvPr id="13" name="Picture 16" descr="circuler_1"/>
                        <a:cNvPicPr>
                          <a:picLocks noChangeAspect="1" noChangeArrowheads="1"/>
                        </a:cNvPicPr>
                      </a:nvPicPr>
                      <a:blipFill>
                        <a:blip r:embed="rId37"/>
                        <a:srcRect/>
                        <a:stretch>
                          <a:fillRect/>
                        </a:stretch>
                      </a:blipFill>
                      <a:spPr bwMode="gray">
                        <a:xfrm>
                          <a:off x="3992129" y="2724005"/>
                          <a:ext cx="1323728" cy="1552846"/>
                        </a:xfrm>
                        <a:prstGeom prst="rect">
                          <a:avLst/>
                        </a:prstGeom>
                        <a:noFill/>
                        <a:ln w="9525">
                          <a:noFill/>
                          <a:miter lim="800000"/>
                          <a:headEnd/>
                          <a:tailEnd/>
                        </a:ln>
                      </a:spPr>
                    </a:pic>
                    <a:sp>
                      <a:nvSpPr>
                        <a:cNvPr id="14" name="Oval 17"/>
                        <a:cNvSpPr>
                          <a:spLocks noChangeArrowheads="1"/>
                        </a:cNvSpPr>
                      </a:nvSpPr>
                      <a:spPr bwMode="gray">
                        <a:xfrm>
                          <a:off x="4026963" y="2723931"/>
                          <a:ext cx="1260984" cy="1556171"/>
                        </a:xfrm>
                        <a:prstGeom prst="ellipse">
                          <a:avLst/>
                        </a:prstGeom>
                        <a:gradFill rotWithShape="1">
                          <a:gsLst>
                            <a:gs pos="0">
                              <a:srgbClr val="004B66">
                                <a:alpha val="89999"/>
                              </a:srgbClr>
                            </a:gs>
                            <a:gs pos="50000">
                              <a:srgbClr val="6AC1FC">
                                <a:alpha val="55000"/>
                              </a:srgbClr>
                            </a:gs>
                            <a:gs pos="100000">
                              <a:srgbClr val="004B66">
                                <a:alpha val="89999"/>
                              </a:srgbClr>
                            </a:gs>
                          </a:gsLst>
                          <a:lin ang="5400000" scaled="1"/>
                        </a:gradFill>
                        <a:ln w="9525" algn="ctr">
                          <a:noFill/>
                          <a:round/>
                          <a:headEnd/>
                          <a:tailEnd/>
                        </a:ln>
                        <a:effectLst/>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defRPr/>
                            </a:pPr>
                            <a:endParaRPr lang="zh-CN" altLang="en-US">
                              <a:latin typeface="微软雅黑" pitchFamily="34" charset="-122"/>
                              <a:ea typeface="微软雅黑" pitchFamily="34" charset="-122"/>
                              <a:cs typeface="Arial" charset="0"/>
                            </a:endParaRPr>
                          </a:p>
                        </a:txBody>
                        <a:useSpRect/>
                      </a:txSp>
                    </a:sp>
                    <a:sp>
                      <a:nvSpPr>
                        <a:cNvPr id="15" name="Freeform 18"/>
                        <a:cNvSpPr>
                          <a:spLocks/>
                        </a:cNvSpPr>
                      </a:nvSpPr>
                      <a:spPr bwMode="ltGray">
                        <a:xfrm>
                          <a:off x="4157159" y="2777571"/>
                          <a:ext cx="991067" cy="539251"/>
                        </a:xfrm>
                        <a:custGeom>
                          <a:avLst/>
                          <a:gdLst>
                            <a:gd name="T0" fmla="*/ 2147483647 w 1321"/>
                            <a:gd name="T1" fmla="*/ 2147483647 h 712"/>
                            <a:gd name="T2" fmla="*/ 2147483647 w 1321"/>
                            <a:gd name="T3" fmla="*/ 2147483647 h 712"/>
                            <a:gd name="T4" fmla="*/ 2147483647 w 1321"/>
                            <a:gd name="T5" fmla="*/ 2147483647 h 712"/>
                            <a:gd name="T6" fmla="*/ 2147483647 w 1321"/>
                            <a:gd name="T7" fmla="*/ 2147483647 h 712"/>
                            <a:gd name="T8" fmla="*/ 2147483647 w 1321"/>
                            <a:gd name="T9" fmla="*/ 2147483647 h 712"/>
                            <a:gd name="T10" fmla="*/ 2147483647 w 1321"/>
                            <a:gd name="T11" fmla="*/ 2147483647 h 712"/>
                            <a:gd name="T12" fmla="*/ 2147483647 w 1321"/>
                            <a:gd name="T13" fmla="*/ 2147483647 h 712"/>
                            <a:gd name="T14" fmla="*/ 2147483647 w 1321"/>
                            <a:gd name="T15" fmla="*/ 2147483647 h 712"/>
                            <a:gd name="T16" fmla="*/ 2147483647 w 1321"/>
                            <a:gd name="T17" fmla="*/ 2147483647 h 712"/>
                            <a:gd name="T18" fmla="*/ 2147483647 w 1321"/>
                            <a:gd name="T19" fmla="*/ 2147483647 h 712"/>
                            <a:gd name="T20" fmla="*/ 2147483647 w 1321"/>
                            <a:gd name="T21" fmla="*/ 2147483647 h 712"/>
                            <a:gd name="T22" fmla="*/ 2147483647 w 1321"/>
                            <a:gd name="T23" fmla="*/ 2147483647 h 712"/>
                            <a:gd name="T24" fmla="*/ 2147483647 w 1321"/>
                            <a:gd name="T25" fmla="*/ 2147483647 h 712"/>
                            <a:gd name="T26" fmla="*/ 2147483647 w 1321"/>
                            <a:gd name="T27" fmla="*/ 2147483647 h 712"/>
                            <a:gd name="T28" fmla="*/ 2147483647 w 1321"/>
                            <a:gd name="T29" fmla="*/ 2147483647 h 712"/>
                            <a:gd name="T30" fmla="*/ 2147483647 w 1321"/>
                            <a:gd name="T31" fmla="*/ 2147483647 h 712"/>
                            <a:gd name="T32" fmla="*/ 2147483647 w 1321"/>
                            <a:gd name="T33" fmla="*/ 2147483647 h 712"/>
                            <a:gd name="T34" fmla="*/ 2147483647 w 1321"/>
                            <a:gd name="T35" fmla="*/ 2147483647 h 712"/>
                            <a:gd name="T36" fmla="*/ 2147483647 w 1321"/>
                            <a:gd name="T37" fmla="*/ 2147483647 h 712"/>
                            <a:gd name="T38" fmla="*/ 2147483647 w 1321"/>
                            <a:gd name="T39" fmla="*/ 2147483647 h 712"/>
                            <a:gd name="T40" fmla="*/ 2147483647 w 1321"/>
                            <a:gd name="T41" fmla="*/ 2147483647 h 712"/>
                            <a:gd name="T42" fmla="*/ 2147483647 w 1321"/>
                            <a:gd name="T43" fmla="*/ 2147483647 h 712"/>
                            <a:gd name="T44" fmla="*/ 2147483647 w 1321"/>
                            <a:gd name="T45" fmla="*/ 2147483647 h 712"/>
                            <a:gd name="T46" fmla="*/ 2147483647 w 1321"/>
                            <a:gd name="T47" fmla="*/ 2147483647 h 712"/>
                            <a:gd name="T48" fmla="*/ 2147483647 w 1321"/>
                            <a:gd name="T49" fmla="*/ 2147483647 h 712"/>
                            <a:gd name="T50" fmla="*/ 2147483647 w 1321"/>
                            <a:gd name="T51" fmla="*/ 2147483647 h 712"/>
                            <a:gd name="T52" fmla="*/ 2147483647 w 1321"/>
                            <a:gd name="T53" fmla="*/ 2147483647 h 712"/>
                            <a:gd name="T54" fmla="*/ 2147483647 w 1321"/>
                            <a:gd name="T55" fmla="*/ 2147483647 h 712"/>
                            <a:gd name="T56" fmla="*/ 0 w 1321"/>
                            <a:gd name="T57" fmla="*/ 2147483647 h 712"/>
                            <a:gd name="T58" fmla="*/ 0 w 1321"/>
                            <a:gd name="T59" fmla="*/ 2147483647 h 712"/>
                            <a:gd name="T60" fmla="*/ 2147483647 w 1321"/>
                            <a:gd name="T61" fmla="*/ 2147483647 h 712"/>
                            <a:gd name="T62" fmla="*/ 2147483647 w 1321"/>
                            <a:gd name="T63" fmla="*/ 2147483647 h 712"/>
                            <a:gd name="T64" fmla="*/ 2147483647 w 1321"/>
                            <a:gd name="T65" fmla="*/ 2147483647 h 712"/>
                            <a:gd name="T66" fmla="*/ 2147483647 w 1321"/>
                            <a:gd name="T67" fmla="*/ 2147483647 h 712"/>
                            <a:gd name="T68" fmla="*/ 2147483647 w 1321"/>
                            <a:gd name="T69" fmla="*/ 2147483647 h 712"/>
                            <a:gd name="T70" fmla="*/ 2147483647 w 1321"/>
                            <a:gd name="T71" fmla="*/ 2147483647 h 712"/>
                            <a:gd name="T72" fmla="*/ 2147483647 w 1321"/>
                            <a:gd name="T73" fmla="*/ 2147483647 h 712"/>
                            <a:gd name="T74" fmla="*/ 2147483647 w 1321"/>
                            <a:gd name="T75" fmla="*/ 2147483647 h 712"/>
                            <a:gd name="T76" fmla="*/ 2147483647 w 1321"/>
                            <a:gd name="T77" fmla="*/ 2147483647 h 712"/>
                            <a:gd name="T78" fmla="*/ 2147483647 w 1321"/>
                            <a:gd name="T79" fmla="*/ 2147483647 h 712"/>
                            <a:gd name="T80" fmla="*/ 2147483647 w 1321"/>
                            <a:gd name="T81" fmla="*/ 2147483647 h 712"/>
                            <a:gd name="T82" fmla="*/ 2147483647 w 1321"/>
                            <a:gd name="T83" fmla="*/ 0 h 712"/>
                            <a:gd name="T84" fmla="*/ 2147483647 w 1321"/>
                            <a:gd name="T85" fmla="*/ 0 h 712"/>
                            <a:gd name="T86" fmla="*/ 2147483647 w 1321"/>
                            <a:gd name="T87" fmla="*/ 2147483647 h 712"/>
                            <a:gd name="T88" fmla="*/ 2147483647 w 1321"/>
                            <a:gd name="T89" fmla="*/ 2147483647 h 712"/>
                            <a:gd name="T90" fmla="*/ 2147483647 w 1321"/>
                            <a:gd name="T91" fmla="*/ 2147483647 h 712"/>
                            <a:gd name="T92" fmla="*/ 2147483647 w 1321"/>
                            <a:gd name="T93" fmla="*/ 2147483647 h 712"/>
                            <a:gd name="T94" fmla="*/ 2147483647 w 1321"/>
                            <a:gd name="T95" fmla="*/ 2147483647 h 712"/>
                            <a:gd name="T96" fmla="*/ 2147483647 w 1321"/>
                            <a:gd name="T97" fmla="*/ 2147483647 h 712"/>
                            <a:gd name="T98" fmla="*/ 2147483647 w 1321"/>
                            <a:gd name="T99" fmla="*/ 2147483647 h 712"/>
                            <a:gd name="T100" fmla="*/ 2147483647 w 1321"/>
                            <a:gd name="T101" fmla="*/ 2147483647 h 712"/>
                            <a:gd name="T102" fmla="*/ 2147483647 w 1321"/>
                            <a:gd name="T103" fmla="*/ 2147483647 h 712"/>
                            <a:gd name="T104" fmla="*/ 2147483647 w 1321"/>
                            <a:gd name="T105" fmla="*/ 2147483647 h 71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21"/>
                            <a:gd name="T160" fmla="*/ 0 h 712"/>
                            <a:gd name="T161" fmla="*/ 1321 w 1321"/>
                            <a:gd name="T162" fmla="*/ 712 h 71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21" h="712">
                              <a:moveTo>
                                <a:pt x="1301" y="401"/>
                              </a:moveTo>
                              <a:lnTo>
                                <a:pt x="1317" y="442"/>
                              </a:lnTo>
                              <a:lnTo>
                                <a:pt x="1321" y="481"/>
                              </a:lnTo>
                              <a:lnTo>
                                <a:pt x="1315" y="516"/>
                              </a:lnTo>
                              <a:lnTo>
                                <a:pt x="1298" y="550"/>
                              </a:lnTo>
                              <a:lnTo>
                                <a:pt x="1272" y="579"/>
                              </a:lnTo>
                              <a:lnTo>
                                <a:pt x="1239" y="604"/>
                              </a:lnTo>
                              <a:lnTo>
                                <a:pt x="1196" y="628"/>
                              </a:lnTo>
                              <a:lnTo>
                                <a:pt x="1147" y="649"/>
                              </a:lnTo>
                              <a:lnTo>
                                <a:pt x="1092" y="667"/>
                              </a:lnTo>
                              <a:lnTo>
                                <a:pt x="1031" y="683"/>
                              </a:lnTo>
                              <a:lnTo>
                                <a:pt x="967" y="694"/>
                              </a:lnTo>
                              <a:lnTo>
                                <a:pt x="896" y="704"/>
                              </a:lnTo>
                              <a:lnTo>
                                <a:pt x="824" y="710"/>
                              </a:lnTo>
                              <a:lnTo>
                                <a:pt x="795" y="712"/>
                              </a:lnTo>
                              <a:lnTo>
                                <a:pt x="476" y="712"/>
                              </a:lnTo>
                              <a:lnTo>
                                <a:pt x="472" y="712"/>
                              </a:lnTo>
                              <a:lnTo>
                                <a:pt x="409" y="708"/>
                              </a:lnTo>
                              <a:lnTo>
                                <a:pt x="348" y="704"/>
                              </a:lnTo>
                              <a:lnTo>
                                <a:pt x="290" y="696"/>
                              </a:lnTo>
                              <a:lnTo>
                                <a:pt x="235" y="689"/>
                              </a:lnTo>
                              <a:lnTo>
                                <a:pt x="186" y="677"/>
                              </a:lnTo>
                              <a:lnTo>
                                <a:pt x="141" y="663"/>
                              </a:lnTo>
                              <a:lnTo>
                                <a:pt x="102" y="648"/>
                              </a:lnTo>
                              <a:lnTo>
                                <a:pt x="67" y="630"/>
                              </a:lnTo>
                              <a:lnTo>
                                <a:pt x="39" y="608"/>
                              </a:lnTo>
                              <a:lnTo>
                                <a:pt x="18" y="583"/>
                              </a:lnTo>
                              <a:lnTo>
                                <a:pt x="6" y="554"/>
                              </a:lnTo>
                              <a:lnTo>
                                <a:pt x="0" y="524"/>
                              </a:lnTo>
                              <a:lnTo>
                                <a:pt x="0" y="520"/>
                              </a:lnTo>
                              <a:lnTo>
                                <a:pt x="4" y="487"/>
                              </a:lnTo>
                              <a:lnTo>
                                <a:pt x="16" y="446"/>
                              </a:lnTo>
                              <a:lnTo>
                                <a:pt x="51" y="370"/>
                              </a:lnTo>
                              <a:lnTo>
                                <a:pt x="94" y="299"/>
                              </a:lnTo>
                              <a:lnTo>
                                <a:pt x="147" y="235"/>
                              </a:lnTo>
                              <a:lnTo>
                                <a:pt x="204" y="176"/>
                              </a:lnTo>
                              <a:lnTo>
                                <a:pt x="270" y="125"/>
                              </a:lnTo>
                              <a:lnTo>
                                <a:pt x="341" y="82"/>
                              </a:lnTo>
                              <a:lnTo>
                                <a:pt x="415" y="47"/>
                              </a:lnTo>
                              <a:lnTo>
                                <a:pt x="497" y="21"/>
                              </a:lnTo>
                              <a:lnTo>
                                <a:pt x="581" y="6"/>
                              </a:lnTo>
                              <a:lnTo>
                                <a:pt x="667" y="0"/>
                              </a:lnTo>
                              <a:lnTo>
                                <a:pt x="759" y="6"/>
                              </a:lnTo>
                              <a:lnTo>
                                <a:pt x="847" y="23"/>
                              </a:lnTo>
                              <a:lnTo>
                                <a:pt x="932" y="53"/>
                              </a:lnTo>
                              <a:lnTo>
                                <a:pt x="1010" y="90"/>
                              </a:lnTo>
                              <a:lnTo>
                                <a:pt x="1082" y="137"/>
                              </a:lnTo>
                              <a:lnTo>
                                <a:pt x="1149" y="194"/>
                              </a:lnTo>
                              <a:lnTo>
                                <a:pt x="1208" y="256"/>
                              </a:lnTo>
                              <a:lnTo>
                                <a:pt x="1258" y="325"/>
                              </a:lnTo>
                              <a:lnTo>
                                <a:pt x="1301" y="401"/>
                              </a:lnTo>
                              <a:close/>
                            </a:path>
                          </a:pathLst>
                        </a:custGeom>
                        <a:gradFill rotWithShape="1">
                          <a:gsLst>
                            <a:gs pos="0">
                              <a:srgbClr val="FFFFFF"/>
                            </a:gs>
                            <a:gs pos="100000">
                              <a:srgbClr val="71B9DD"/>
                            </a:gs>
                          </a:gsLst>
                          <a:lin ang="5400000" scaled="1"/>
                        </a:gradFill>
                        <a:ln w="0">
                          <a:noFill/>
                          <a:round/>
                          <a:headEnd/>
                          <a:tailEnd/>
                        </a:ln>
                      </a:spPr>
                      <a:txSp>
                        <a:txBody>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sp>
                      <a:nvSpPr>
                        <a:cNvPr id="16" name="Rectangle 19"/>
                        <a:cNvSpPr>
                          <a:spLocks noChangeArrowheads="1"/>
                        </a:cNvSpPr>
                      </a:nvSpPr>
                      <a:spPr bwMode="gray">
                        <a:xfrm>
                          <a:off x="1418503" y="2419130"/>
                          <a:ext cx="1142245" cy="336541"/>
                        </a:xfrm>
                        <a:prstGeom prst="rect">
                          <a:avLst/>
                        </a:prstGeom>
                        <a:noFill/>
                        <a:ln w="9525" algn="ctr">
                          <a:noFill/>
                          <a:miter lim="800000"/>
                          <a:headEnd/>
                          <a:tailEnd/>
                        </a:ln>
                      </a:spPr>
                      <a:txSp>
                        <a:txBody>
                          <a:bodyPr wrap="none">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buClr>
                                <a:srgbClr val="FF3300"/>
                              </a:buClr>
                              <a:buSzPct val="115000"/>
                              <a:buFont typeface="Wingdings" pitchFamily="2" charset="2"/>
                              <a:buNone/>
                            </a:pPr>
                            <a:r>
                              <a:rPr lang="zh-CN" altLang="en-US" sz="1400" b="1">
                                <a:solidFill>
                                  <a:srgbClr val="FEFEFE"/>
                                </a:solidFill>
                                <a:latin typeface="微软雅黑" pitchFamily="34" charset="-122"/>
                                <a:ea typeface="微软雅黑" pitchFamily="34" charset="-122"/>
                                <a:cs typeface="Arial" pitchFamily="34" charset="0"/>
                              </a:rPr>
                              <a:t> “招商引资”</a:t>
                            </a:r>
                            <a:endParaRPr lang="en-US" altLang="zh-CN" sz="1400" b="1">
                              <a:solidFill>
                                <a:srgbClr val="FEFEFE"/>
                              </a:solidFill>
                              <a:latin typeface="微软雅黑" pitchFamily="34" charset="-122"/>
                              <a:ea typeface="微软雅黑" pitchFamily="34" charset="-122"/>
                              <a:cs typeface="Arial" pitchFamily="34" charset="0"/>
                            </a:endParaRPr>
                          </a:p>
                        </a:txBody>
                        <a:useSpRect/>
                      </a:txSp>
                    </a:sp>
                    <a:sp>
                      <a:nvSpPr>
                        <a:cNvPr id="17" name="AutoShape 20"/>
                        <a:cNvSpPr>
                          <a:spLocks noChangeArrowheads="1"/>
                        </a:cNvSpPr>
                      </a:nvSpPr>
                      <a:spPr bwMode="gray">
                        <a:xfrm>
                          <a:off x="5957450" y="2445080"/>
                          <a:ext cx="2770186" cy="336550"/>
                        </a:xfrm>
                        <a:prstGeom prst="roundRect">
                          <a:avLst>
                            <a:gd name="adj" fmla="val 50000"/>
                          </a:avLst>
                        </a:prstGeom>
                        <a:solidFill>
                          <a:schemeClr val="accent1"/>
                        </a:solidFill>
                        <a:ln w="57150" algn="ctr">
                          <a:noFill/>
                          <a:round/>
                          <a:headEnd/>
                          <a:tailEnd/>
                        </a:ln>
                      </a:spPr>
                      <a:txSp>
                        <a:txBody>
                          <a:bodyPr wrap="none" anchor="ct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endParaRPr lang="zh-CN" altLang="en-US">
                              <a:latin typeface="微软雅黑" pitchFamily="34" charset="-122"/>
                              <a:ea typeface="微软雅黑" pitchFamily="34" charset="-122"/>
                              <a:cs typeface="Arial" pitchFamily="34" charset="0"/>
                            </a:endParaRPr>
                          </a:p>
                        </a:txBody>
                        <a:useSpRect/>
                      </a:txSp>
                    </a:sp>
                    <a:sp>
                      <a:nvSpPr>
                        <a:cNvPr id="18" name="Rectangle 21"/>
                        <a:cNvSpPr>
                          <a:spLocks noChangeArrowheads="1"/>
                        </a:cNvSpPr>
                      </a:nvSpPr>
                      <a:spPr bwMode="gray">
                        <a:xfrm>
                          <a:off x="6630223" y="2419128"/>
                          <a:ext cx="1096287" cy="336541"/>
                        </a:xfrm>
                        <a:prstGeom prst="rect">
                          <a:avLst/>
                        </a:prstGeom>
                        <a:noFill/>
                        <a:ln w="9525" algn="ctr">
                          <a:noFill/>
                          <a:miter lim="800000"/>
                          <a:headEnd/>
                          <a:tailEnd/>
                        </a:ln>
                      </a:spPr>
                      <a:txSp>
                        <a:txBody>
                          <a:bodyPr wrap="none">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eaLnBrk="0" hangingPunct="0">
                              <a:buClr>
                                <a:srgbClr val="FF3300"/>
                              </a:buClr>
                              <a:buSzPct val="115000"/>
                              <a:buFont typeface="Wingdings" pitchFamily="2" charset="2"/>
                              <a:buNone/>
                            </a:pPr>
                            <a:r>
                              <a:rPr lang="zh-CN" altLang="en-US" sz="1400" b="1">
                                <a:solidFill>
                                  <a:srgbClr val="FEFEFE"/>
                                </a:solidFill>
                                <a:latin typeface="微软雅黑" pitchFamily="34" charset="-122"/>
                                <a:ea typeface="微软雅黑" pitchFamily="34" charset="-122"/>
                                <a:cs typeface="Arial" pitchFamily="34" charset="0"/>
                              </a:rPr>
                              <a:t>“经营产业”</a:t>
                            </a:r>
                            <a:endParaRPr lang="en-US" altLang="zh-CN" sz="1400" b="1">
                              <a:solidFill>
                                <a:srgbClr val="FEFEFE"/>
                              </a:solidFill>
                              <a:latin typeface="微软雅黑" pitchFamily="34" charset="-122"/>
                              <a:ea typeface="微软雅黑" pitchFamily="34" charset="-122"/>
                              <a:cs typeface="Arial" pitchFamily="34" charset="0"/>
                            </a:endParaRPr>
                          </a:p>
                        </a:txBody>
                        <a:useSpRect/>
                      </a:txSp>
                    </a:sp>
                    <a:sp>
                      <a:nvSpPr>
                        <a:cNvPr id="19" name="Rectangle 22"/>
                        <a:cNvSpPr>
                          <a:spLocks noChangeArrowheads="1"/>
                        </a:cNvSpPr>
                      </a:nvSpPr>
                      <a:spPr bwMode="gray">
                        <a:xfrm>
                          <a:off x="2813887" y="1236735"/>
                          <a:ext cx="3790865" cy="757217"/>
                        </a:xfrm>
                        <a:prstGeom prst="rect">
                          <a:avLst/>
                        </a:prstGeom>
                        <a:noFill/>
                        <a:ln w="9525" algn="ctr">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lnSpc>
                                <a:spcPct val="150000"/>
                              </a:lnSpc>
                            </a:pPr>
                            <a:r>
                              <a:rPr lang="zh-CN" altLang="en-US" sz="1300" b="1">
                                <a:solidFill>
                                  <a:srgbClr val="0070C0"/>
                                </a:solidFill>
                                <a:latin typeface="微软雅黑" pitchFamily="34" charset="-122"/>
                                <a:ea typeface="微软雅黑" pitchFamily="34" charset="-122"/>
                                <a:cs typeface="Arial" pitchFamily="34" charset="0"/>
                              </a:rPr>
                              <a:t>内涵：</a:t>
                            </a:r>
                            <a:r>
                              <a:rPr lang="zh-CN" altLang="en-US" sz="1300">
                                <a:solidFill>
                                  <a:srgbClr val="0070C0"/>
                                </a:solidFill>
                                <a:latin typeface="微软雅黑" pitchFamily="34" charset="-122"/>
                                <a:ea typeface="微软雅黑" pitchFamily="34" charset="-122"/>
                                <a:cs typeface="Arial" pitchFamily="34" charset="0"/>
                              </a:rPr>
                              <a:t>以平台化为基础，整合各类产业要素，构建完善的区域产业生态系统。</a:t>
                            </a:r>
                            <a:endParaRPr lang="en-US" altLang="zh-CN" sz="1300">
                              <a:solidFill>
                                <a:srgbClr val="0070C0"/>
                              </a:solidFill>
                              <a:latin typeface="微软雅黑" pitchFamily="34" charset="-122"/>
                              <a:ea typeface="微软雅黑" pitchFamily="34" charset="-122"/>
                              <a:cs typeface="Arial" pitchFamily="34" charset="0"/>
                            </a:endParaRPr>
                          </a:p>
                        </a:txBody>
                        <a:useSpRect/>
                      </a:txSp>
                    </a:sp>
                    <a:sp>
                      <a:nvSpPr>
                        <a:cNvPr id="20" name="Rectangle 23"/>
                        <a:cNvSpPr>
                          <a:spLocks noChangeArrowheads="1"/>
                        </a:cNvSpPr>
                      </a:nvSpPr>
                      <a:spPr bwMode="black">
                        <a:xfrm>
                          <a:off x="728167" y="2897208"/>
                          <a:ext cx="2755679" cy="1968695"/>
                        </a:xfrm>
                        <a:prstGeom prst="rect">
                          <a:avLst/>
                        </a:prstGeom>
                        <a:noFill/>
                        <a:ln w="9525" algn="ctr">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indent="301625">
                              <a:defRPr/>
                            </a:pPr>
                            <a:r>
                              <a:rPr lang="zh-CN" altLang="en-US" sz="1200" dirty="0">
                                <a:latin typeface="微软雅黑" pitchFamily="34" charset="-122"/>
                                <a:ea typeface="微软雅黑" pitchFamily="34" charset="-122"/>
                              </a:rPr>
                              <a:t>以“拼政策，拼优惠”为主要手段，以盲目招商和企业的无序入驻为主要特征的粗放式“经营”策略。</a:t>
                            </a:r>
                            <a:endParaRPr lang="en-US" altLang="zh-CN" sz="1200" dirty="0">
                              <a:latin typeface="微软雅黑" pitchFamily="34" charset="-122"/>
                              <a:ea typeface="微软雅黑" pitchFamily="34" charset="-122"/>
                            </a:endParaRPr>
                          </a:p>
                          <a:p>
                            <a:pPr indent="301625">
                              <a:defRPr/>
                            </a:pPr>
                            <a:endParaRPr lang="en-US" altLang="zh-CN" sz="300" dirty="0">
                              <a:solidFill>
                                <a:srgbClr val="080808"/>
                              </a:solidFill>
                              <a:latin typeface="微软雅黑" pitchFamily="34" charset="-122"/>
                              <a:ea typeface="微软雅黑" pitchFamily="34" charset="-122"/>
                              <a:cs typeface="Arial" charset="0"/>
                            </a:endParaRPr>
                          </a:p>
                          <a:p>
                            <a:pPr marL="265113" indent="-171450">
                              <a:lnSpc>
                                <a:spcPct val="150000"/>
                              </a:lnSpc>
                              <a:buFontTx/>
                              <a:buChar char="•"/>
                              <a:defRPr/>
                            </a:pPr>
                            <a:r>
                              <a:rPr lang="zh-CN" altLang="en-US" sz="1200" dirty="0">
                                <a:solidFill>
                                  <a:srgbClr val="080808"/>
                                </a:solidFill>
                                <a:latin typeface="微软雅黑" pitchFamily="34" charset="-122"/>
                                <a:ea typeface="微软雅黑" pitchFamily="34" charset="-122"/>
                                <a:cs typeface="Arial" charset="0"/>
                              </a:rPr>
                              <a:t>严重的同质化竞争“红海”；</a:t>
                            </a:r>
                            <a:endParaRPr lang="en-US" altLang="zh-CN" sz="1200" dirty="0">
                              <a:solidFill>
                                <a:srgbClr val="080808"/>
                              </a:solidFill>
                              <a:latin typeface="微软雅黑" pitchFamily="34" charset="-122"/>
                              <a:ea typeface="微软雅黑" pitchFamily="34" charset="-122"/>
                              <a:cs typeface="Arial" charset="0"/>
                            </a:endParaRPr>
                          </a:p>
                          <a:p>
                            <a:pPr marL="265113" indent="-171450">
                              <a:lnSpc>
                                <a:spcPct val="150000"/>
                              </a:lnSpc>
                              <a:buFontTx/>
                              <a:buChar char="•"/>
                              <a:defRPr/>
                            </a:pPr>
                            <a:r>
                              <a:rPr lang="zh-CN" altLang="en-US" sz="1200" dirty="0">
                                <a:solidFill>
                                  <a:srgbClr val="080808"/>
                                </a:solidFill>
                                <a:latin typeface="微软雅黑" pitchFamily="34" charset="-122"/>
                                <a:ea typeface="微软雅黑" pitchFamily="34" charset="-122"/>
                                <a:cs typeface="Arial" charset="0"/>
                              </a:rPr>
                              <a:t>招商瓶颈“招不来，留不下”；</a:t>
                            </a:r>
                            <a:endParaRPr lang="en-US" altLang="zh-CN" sz="1200" dirty="0">
                              <a:solidFill>
                                <a:srgbClr val="080808"/>
                              </a:solidFill>
                              <a:latin typeface="微软雅黑" pitchFamily="34" charset="-122"/>
                              <a:ea typeface="微软雅黑" pitchFamily="34" charset="-122"/>
                              <a:cs typeface="Arial" charset="0"/>
                            </a:endParaRPr>
                          </a:p>
                          <a:p>
                            <a:pPr marL="265113" indent="-171450">
                              <a:lnSpc>
                                <a:spcPct val="150000"/>
                              </a:lnSpc>
                              <a:buFontTx/>
                              <a:buChar char="•"/>
                              <a:defRPr/>
                            </a:pPr>
                            <a:r>
                              <a:rPr lang="zh-CN" altLang="en-US" sz="1200" dirty="0">
                                <a:solidFill>
                                  <a:srgbClr val="080808"/>
                                </a:solidFill>
                                <a:latin typeface="微软雅黑" pitchFamily="34" charset="-122"/>
                                <a:ea typeface="微软雅黑" pitchFamily="34" charset="-122"/>
                                <a:cs typeface="Arial" charset="0"/>
                              </a:rPr>
                              <a:t>无法形成有特色，有体系的产业集群；</a:t>
                            </a:r>
                            <a:endParaRPr lang="en-US" altLang="zh-CN" sz="1200" dirty="0">
                              <a:solidFill>
                                <a:srgbClr val="080808"/>
                              </a:solidFill>
                              <a:latin typeface="微软雅黑" pitchFamily="34" charset="-122"/>
                              <a:ea typeface="微软雅黑" pitchFamily="34" charset="-122"/>
                              <a:cs typeface="Arial" charset="0"/>
                            </a:endParaRPr>
                          </a:p>
                          <a:p>
                            <a:pPr marL="265113" indent="-171450">
                              <a:lnSpc>
                                <a:spcPct val="150000"/>
                              </a:lnSpc>
                              <a:buFontTx/>
                              <a:buChar char="•"/>
                              <a:defRPr/>
                            </a:pPr>
                            <a:r>
                              <a:rPr lang="zh-CN" altLang="en-US" sz="1200" dirty="0">
                                <a:solidFill>
                                  <a:srgbClr val="080808"/>
                                </a:solidFill>
                                <a:latin typeface="微软雅黑" pitchFamily="34" charset="-122"/>
                                <a:ea typeface="微软雅黑" pitchFamily="34" charset="-122"/>
                                <a:cs typeface="Arial" charset="0"/>
                              </a:rPr>
                              <a:t>竞相压价，恶性竞争愈演愈烈。</a:t>
                            </a:r>
                            <a:endParaRPr lang="en-US" altLang="zh-CN" sz="1200" dirty="0">
                              <a:solidFill>
                                <a:srgbClr val="080808"/>
                              </a:solidFill>
                              <a:latin typeface="微软雅黑" pitchFamily="34" charset="-122"/>
                              <a:ea typeface="微软雅黑" pitchFamily="34" charset="-122"/>
                              <a:cs typeface="Arial" charset="0"/>
                            </a:endParaRPr>
                          </a:p>
                        </a:txBody>
                        <a:useSpRect/>
                      </a:txSp>
                    </a:sp>
                    <a:sp>
                      <a:nvSpPr>
                        <a:cNvPr id="21" name="Rectangle 25"/>
                        <a:cNvSpPr>
                          <a:spLocks noChangeArrowheads="1"/>
                        </a:cNvSpPr>
                      </a:nvSpPr>
                      <a:spPr bwMode="auto">
                        <a:xfrm>
                          <a:off x="2586436" y="4768824"/>
                          <a:ext cx="4018316" cy="757217"/>
                        </a:xfrm>
                        <a:prstGeom prst="rect">
                          <a:avLst/>
                        </a:prstGeom>
                        <a:noFill/>
                        <a:ln w="9525" algn="ctr">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lnSpc>
                                <a:spcPct val="150000"/>
                              </a:lnSpc>
                            </a:pPr>
                            <a:r>
                              <a:rPr lang="zh-CN" altLang="en-US" sz="1300" b="1">
                                <a:solidFill>
                                  <a:srgbClr val="800000"/>
                                </a:solidFill>
                                <a:latin typeface="微软雅黑" pitchFamily="34" charset="-122"/>
                                <a:ea typeface="微软雅黑" pitchFamily="34" charset="-122"/>
                                <a:cs typeface="Arial" pitchFamily="34" charset="0"/>
                              </a:rPr>
                              <a:t>外延：</a:t>
                            </a:r>
                            <a:r>
                              <a:rPr lang="zh-CN" altLang="en-US" sz="1300">
                                <a:solidFill>
                                  <a:srgbClr val="800000"/>
                                </a:solidFill>
                                <a:latin typeface="微软雅黑" pitchFamily="34" charset="-122"/>
                                <a:ea typeface="微软雅黑" pitchFamily="34" charset="-122"/>
                                <a:cs typeface="Arial" pitchFamily="34" charset="0"/>
                              </a:rPr>
                              <a:t>“经营产业”发展战略实施的</a:t>
                            </a:r>
                            <a:endParaRPr lang="en-US" altLang="zh-CN" sz="1300">
                              <a:solidFill>
                                <a:srgbClr val="800000"/>
                              </a:solidFill>
                              <a:latin typeface="微软雅黑" pitchFamily="34" charset="-122"/>
                              <a:ea typeface="微软雅黑" pitchFamily="34" charset="-122"/>
                              <a:cs typeface="Arial" pitchFamily="34" charset="0"/>
                            </a:endParaRPr>
                          </a:p>
                          <a:p>
                            <a:pPr algn="ctr" eaLnBrk="0" hangingPunct="0">
                              <a:lnSpc>
                                <a:spcPct val="150000"/>
                              </a:lnSpc>
                            </a:pPr>
                            <a:r>
                              <a:rPr lang="zh-CN" altLang="en-US" sz="1300">
                                <a:solidFill>
                                  <a:srgbClr val="800000"/>
                                </a:solidFill>
                                <a:latin typeface="微软雅黑" pitchFamily="34" charset="-122"/>
                                <a:ea typeface="微软雅黑" pitchFamily="34" charset="-122"/>
                                <a:cs typeface="Arial" pitchFamily="34" charset="0"/>
                              </a:rPr>
                              <a:t>三个核心要素分别是专业化、系统化和集成化。</a:t>
                            </a:r>
                            <a:endParaRPr lang="en-US" altLang="zh-CN" sz="1300">
                              <a:solidFill>
                                <a:srgbClr val="800000"/>
                              </a:solidFill>
                              <a:latin typeface="微软雅黑" pitchFamily="34" charset="-122"/>
                              <a:ea typeface="微软雅黑" pitchFamily="34" charset="-122"/>
                              <a:cs typeface="Arial" pitchFamily="34" charset="0"/>
                            </a:endParaRPr>
                          </a:p>
                        </a:txBody>
                        <a:useSpRect/>
                      </a:txSp>
                    </a:sp>
                    <a:sp>
                      <a:nvSpPr>
                        <a:cNvPr id="22" name="Text Box 29"/>
                        <a:cNvSpPr txBox="1">
                          <a:spLocks noChangeArrowheads="1"/>
                        </a:cNvSpPr>
                      </a:nvSpPr>
                      <a:spPr bwMode="auto">
                        <a:xfrm>
                          <a:off x="4219232" y="3281628"/>
                          <a:ext cx="869174" cy="403849"/>
                        </a:xfrm>
                        <a:prstGeom prst="rect">
                          <a:avLst/>
                        </a:prstGeom>
                        <a:noFill/>
                        <a:ln w="9525" algn="ctr">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algn="ctr" eaLnBrk="0" hangingPunct="0"/>
                            <a:r>
                              <a:rPr lang="zh-CN" altLang="en-US" b="1">
                                <a:latin typeface="微软雅黑" pitchFamily="34" charset="-122"/>
                                <a:ea typeface="微软雅黑" pitchFamily="34" charset="-122"/>
                                <a:cs typeface="Arial" pitchFamily="34" charset="0"/>
                              </a:rPr>
                              <a:t>城  市</a:t>
                            </a:r>
                            <a:endParaRPr lang="en-US" altLang="zh-CN" b="1">
                              <a:latin typeface="微软雅黑" pitchFamily="34" charset="-122"/>
                              <a:ea typeface="微软雅黑" pitchFamily="34" charset="-122"/>
                              <a:cs typeface="Arial" pitchFamily="34" charset="0"/>
                            </a:endParaRPr>
                          </a:p>
                        </a:txBody>
                        <a:useSpRect/>
                      </a:txSp>
                    </a:sp>
                  </a:grpSp>
                  <a:sp>
                    <a:nvSpPr>
                      <a:cNvPr id="29" name="Rectangle 23"/>
                      <a:cNvSpPr>
                        <a:spLocks noChangeArrowheads="1"/>
                      </a:cNvSpPr>
                    </a:nvSpPr>
                    <a:spPr bwMode="black">
                      <a:xfrm>
                        <a:off x="7286607" y="4059244"/>
                        <a:ext cx="3171825" cy="1708150"/>
                      </a:xfrm>
                      <a:prstGeom prst="rect">
                        <a:avLst/>
                      </a:prstGeom>
                      <a:noFill/>
                      <a:ln w="9525" algn="ctr">
                        <a:noFill/>
                        <a:miter lim="800000"/>
                        <a:headEnd/>
                        <a:tailEnd/>
                      </a:ln>
                    </a:spPr>
                    <a:txSp>
                      <a:txBody>
                        <a:bodyPr>
                          <a:spAutoFit/>
                        </a:bodyPr>
                        <a:lstStyle>
                          <a:defPPr>
                            <a:defRPr lang="zh-CN"/>
                          </a:defPPr>
                          <a:lvl1pPr algn="l" rtl="0" fontAlgn="base">
                            <a:spcBef>
                              <a:spcPct val="0"/>
                            </a:spcBef>
                            <a:spcAft>
                              <a:spcPct val="0"/>
                            </a:spcAft>
                            <a:defRPr kern="1200">
                              <a:solidFill>
                                <a:schemeClr val="tx1"/>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pPr indent="301625">
                            <a:defRPr/>
                          </a:pPr>
                          <a:r>
                            <a:rPr lang="zh-CN" altLang="en-US" sz="1200" dirty="0">
                              <a:latin typeface="微软雅黑" pitchFamily="34" charset="-122"/>
                              <a:ea typeface="微软雅黑" pitchFamily="34" charset="-122"/>
                            </a:rPr>
                            <a:t>以精准的差异化城市</a:t>
                          </a:r>
                          <a:r>
                            <a:rPr lang="en-US" altLang="zh-CN" sz="1200" dirty="0">
                              <a:latin typeface="微软雅黑" pitchFamily="34" charset="-122"/>
                              <a:ea typeface="微软雅黑" pitchFamily="34" charset="-122"/>
                            </a:rPr>
                            <a:t>/</a:t>
                          </a:r>
                          <a:r>
                            <a:rPr lang="zh-CN" altLang="en-US" sz="1200" dirty="0">
                              <a:latin typeface="微软雅黑" pitchFamily="34" charset="-122"/>
                              <a:ea typeface="微软雅黑" pitchFamily="34" charset="-122"/>
                            </a:rPr>
                            <a:t>园区定位为基础，构建以产业链、要素链、运营链和服务链为核心的区域产业生态系统，以企业的有序入驻为主要特征的精细化“经营”策略。</a:t>
                          </a:r>
                          <a:endParaRPr lang="en-US" altLang="zh-CN" sz="1200" dirty="0">
                            <a:latin typeface="微软雅黑" pitchFamily="34" charset="-122"/>
                            <a:ea typeface="微软雅黑" pitchFamily="34" charset="-122"/>
                          </a:endParaRPr>
                        </a:p>
                        <a:p>
                          <a:pPr indent="301625">
                            <a:defRPr/>
                          </a:pPr>
                          <a:endParaRPr lang="en-US" altLang="zh-CN" sz="300" dirty="0">
                            <a:solidFill>
                              <a:srgbClr val="080808"/>
                            </a:solidFill>
                            <a:latin typeface="微软雅黑" pitchFamily="34" charset="-122"/>
                            <a:ea typeface="微软雅黑" pitchFamily="34" charset="-122"/>
                            <a:cs typeface="Arial" charset="0"/>
                          </a:endParaRPr>
                        </a:p>
                        <a:p>
                          <a:pPr marL="265113" indent="-171450">
                            <a:lnSpc>
                              <a:spcPct val="150000"/>
                            </a:lnSpc>
                            <a:buFontTx/>
                            <a:buChar char="•"/>
                            <a:defRPr/>
                          </a:pPr>
                          <a:r>
                            <a:rPr lang="zh-CN" altLang="en-US" sz="1200" dirty="0">
                              <a:solidFill>
                                <a:srgbClr val="080808"/>
                              </a:solidFill>
                              <a:latin typeface="微软雅黑" pitchFamily="34" charset="-122"/>
                              <a:ea typeface="微软雅黑" pitchFamily="34" charset="-122"/>
                              <a:cs typeface="Arial" charset="0"/>
                            </a:rPr>
                            <a:t>差异化竞争，“百花齐放”；</a:t>
                          </a:r>
                          <a:endParaRPr lang="en-US" altLang="zh-CN" sz="1200" dirty="0">
                            <a:solidFill>
                              <a:srgbClr val="080808"/>
                            </a:solidFill>
                            <a:latin typeface="微软雅黑" pitchFamily="34" charset="-122"/>
                            <a:ea typeface="微软雅黑" pitchFamily="34" charset="-122"/>
                            <a:cs typeface="Arial" charset="0"/>
                          </a:endParaRPr>
                        </a:p>
                        <a:p>
                          <a:pPr marL="265113" indent="-171450">
                            <a:lnSpc>
                              <a:spcPct val="150000"/>
                            </a:lnSpc>
                            <a:buFontTx/>
                            <a:buChar char="•"/>
                            <a:defRPr/>
                          </a:pPr>
                          <a:r>
                            <a:rPr lang="zh-CN" altLang="en-US" sz="1200" dirty="0">
                              <a:ea typeface="微软雅黑" pitchFamily="34" charset="-122"/>
                            </a:rPr>
                            <a:t>特色的产业聚集，完整的产业链条，区域经济的良性循环和健康发展；</a:t>
                          </a:r>
                          <a:endParaRPr lang="en-US" altLang="zh-CN" sz="1200" dirty="0">
                            <a:ea typeface="微软雅黑" pitchFamily="34" charset="-122"/>
                          </a:endParaRPr>
                        </a:p>
                      </a:txBody>
                      <a:useSpRect/>
                    </a:txSp>
                  </a:sp>
                </lc:lockedCanvas>
              </a:graphicData>
            </a:graphic>
          </wp:inline>
        </w:drawing>
      </w:r>
    </w:p>
    <w:p w:rsidR="007F4EB5" w:rsidRDefault="007F4EB5" w:rsidP="007F4EB5">
      <w:pPr>
        <w:widowControl/>
        <w:spacing w:line="360" w:lineRule="auto"/>
        <w:ind w:firstLine="465"/>
        <w:jc w:val="left"/>
        <w:rPr>
          <w:rFonts w:ascii="微软雅黑" w:eastAsia="微软雅黑" w:hAnsi="微软雅黑" w:cs="宋体"/>
          <w:color w:val="000000" w:themeColor="text1"/>
          <w:kern w:val="0"/>
          <w:szCs w:val="24"/>
        </w:rPr>
      </w:pPr>
    </w:p>
    <w:p w:rsidR="007F4EB5" w:rsidRDefault="007F4EB5" w:rsidP="007F4EB5">
      <w:pPr>
        <w:pStyle w:val="4"/>
        <w:spacing w:line="360" w:lineRule="auto"/>
        <w:rPr>
          <w:rFonts w:ascii="黑体" w:eastAsia="黑体"/>
          <w:sz w:val="30"/>
          <w:szCs w:val="30"/>
        </w:rPr>
      </w:pPr>
      <w:bookmarkStart w:id="25" w:name="_Toc402948449"/>
      <w:r w:rsidRPr="007F4EB5">
        <w:rPr>
          <w:rFonts w:ascii="黑体" w:eastAsia="黑体" w:hint="eastAsia"/>
          <w:sz w:val="30"/>
          <w:szCs w:val="30"/>
        </w:rPr>
        <w:lastRenderedPageBreak/>
        <w:t>平台+政策”，推动服务外包内需市场</w:t>
      </w:r>
      <w:bookmarkEnd w:id="25"/>
    </w:p>
    <w:p w:rsidR="007F4EB5" w:rsidRPr="007F4EB5" w:rsidRDefault="007F4EB5" w:rsidP="007F4EB5">
      <w:pPr>
        <w:widowControl/>
        <w:spacing w:line="360" w:lineRule="auto"/>
        <w:ind w:firstLine="465"/>
        <w:jc w:val="left"/>
        <w:rPr>
          <w:rFonts w:ascii="微软雅黑" w:eastAsia="微软雅黑" w:hAnsi="微软雅黑" w:cs="宋体"/>
          <w:color w:val="000000" w:themeColor="text1"/>
          <w:kern w:val="0"/>
          <w:szCs w:val="24"/>
        </w:rPr>
      </w:pPr>
      <w:r w:rsidRPr="007F4EB5">
        <w:rPr>
          <w:rFonts w:ascii="微软雅黑" w:eastAsia="微软雅黑" w:hAnsi="微软雅黑" w:cs="宋体" w:hint="eastAsia"/>
          <w:color w:val="000000" w:themeColor="text1"/>
          <w:kern w:val="0"/>
          <w:szCs w:val="24"/>
        </w:rPr>
        <w:t xml:space="preserve">中国服务外包内需市场是中国本土服务外包企业扩张发展的基础，也是吸引并承接全球服务外包产业梯度转移的关键要素，未来几年的发展中，在岸服务外包业务的发展将成为整体产业升级的关键。 </w:t>
      </w:r>
    </w:p>
    <w:p w:rsidR="007F4EB5" w:rsidRPr="007F4EB5" w:rsidRDefault="007F4EB5" w:rsidP="007F4EB5">
      <w:pPr>
        <w:widowControl/>
        <w:spacing w:line="360" w:lineRule="auto"/>
        <w:ind w:firstLine="465"/>
        <w:jc w:val="left"/>
        <w:rPr>
          <w:rFonts w:ascii="微软雅黑" w:eastAsia="微软雅黑" w:hAnsi="微软雅黑" w:cs="宋体"/>
          <w:color w:val="000000" w:themeColor="text1"/>
          <w:kern w:val="0"/>
          <w:szCs w:val="24"/>
        </w:rPr>
      </w:pPr>
      <w:r w:rsidRPr="007F4EB5">
        <w:rPr>
          <w:rFonts w:ascii="微软雅黑" w:eastAsia="微软雅黑" w:hAnsi="微软雅黑" w:cs="宋体"/>
          <w:noProof/>
          <w:color w:val="000000" w:themeColor="text1"/>
          <w:kern w:val="0"/>
          <w:szCs w:val="24"/>
        </w:rPr>
        <w:drawing>
          <wp:inline distT="0" distB="0" distL="0" distR="0">
            <wp:extent cx="8410575" cy="4114800"/>
            <wp:effectExtent l="0" t="0" r="0" b="0"/>
            <wp:docPr id="52" name="对象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9978" cy="4530787"/>
                      <a:chOff x="1769034" y="2327213"/>
                      <a:chExt cx="9149978" cy="4530787"/>
                    </a:xfrm>
                  </a:grpSpPr>
                  <a:sp>
                    <a:nvSpPr>
                      <a:cNvPr id="79874" name="灯片编号占位符 1"/>
                      <a:cNvSpPr>
                        <a:spLocks noGrp="1"/>
                      </a:cNvSpPr>
                    </a:nvSpPr>
                    <a:spPr bwMode="auto">
                      <a:xfrm>
                        <a:off x="3271838" y="6492875"/>
                        <a:ext cx="3276600" cy="365125"/>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defPPr>
                            <a:defRPr lang="zh-CN"/>
                          </a:defPPr>
                          <a:lvl1pPr algn="r" rtl="0" eaLnBrk="1" fontAlgn="base" hangingPunct="1">
                            <a:spcBef>
                              <a:spcPct val="0"/>
                            </a:spcBef>
                            <a:spcAft>
                              <a:spcPct val="0"/>
                            </a:spcAft>
                            <a:defRPr sz="1200" kern="1200">
                              <a:solidFill>
                                <a:srgbClr val="898989"/>
                              </a:solidFill>
                              <a:latin typeface="Calibri" pitchFamily="34" charset="0"/>
                              <a:ea typeface="宋体" pitchFamily="2" charset="-122"/>
                              <a:cs typeface="+mn-cs"/>
                            </a:defRPr>
                          </a:lvl1pPr>
                          <a:lvl2pPr marL="457200" algn="l" rtl="0" fontAlgn="base">
                            <a:spcBef>
                              <a:spcPct val="0"/>
                            </a:spcBef>
                            <a:spcAft>
                              <a:spcPct val="0"/>
                            </a:spcAft>
                            <a:defRPr kern="1200">
                              <a:solidFill>
                                <a:schemeClr val="tx1"/>
                              </a:solidFill>
                              <a:latin typeface="Calibri" pitchFamily="34" charset="0"/>
                              <a:ea typeface="宋体" pitchFamily="2" charset="-122"/>
                              <a:cs typeface="+mn-cs"/>
                            </a:defRPr>
                          </a:lvl2pPr>
                          <a:lvl3pPr marL="914400" algn="l" rtl="0" fontAlgn="base">
                            <a:spcBef>
                              <a:spcPct val="0"/>
                            </a:spcBef>
                            <a:spcAft>
                              <a:spcPct val="0"/>
                            </a:spcAft>
                            <a:defRPr kern="1200">
                              <a:solidFill>
                                <a:schemeClr val="tx1"/>
                              </a:solidFill>
                              <a:latin typeface="Calibri" pitchFamily="34" charset="0"/>
                              <a:ea typeface="宋体" pitchFamily="2" charset="-122"/>
                              <a:cs typeface="+mn-cs"/>
                            </a:defRPr>
                          </a:lvl3pPr>
                          <a:lvl4pPr marL="1371600" algn="l" rtl="0" fontAlgn="base">
                            <a:spcBef>
                              <a:spcPct val="0"/>
                            </a:spcBef>
                            <a:spcAft>
                              <a:spcPct val="0"/>
                            </a:spcAft>
                            <a:defRPr kern="1200">
                              <a:solidFill>
                                <a:schemeClr val="tx1"/>
                              </a:solidFill>
                              <a:latin typeface="Calibri" pitchFamily="34" charset="0"/>
                              <a:ea typeface="宋体" pitchFamily="2" charset="-122"/>
                              <a:cs typeface="+mn-cs"/>
                            </a:defRPr>
                          </a:lvl4pPr>
                          <a:lvl5pPr marL="1828800" algn="l" rtl="0" fontAlgn="base">
                            <a:spcBef>
                              <a:spcPct val="0"/>
                            </a:spcBef>
                            <a:spcAft>
                              <a:spcPct val="0"/>
                            </a:spcAft>
                            <a:defRPr kern="1200">
                              <a:solidFill>
                                <a:schemeClr val="tx1"/>
                              </a:solidFill>
                              <a:latin typeface="Calibri" pitchFamily="34" charset="0"/>
                              <a:ea typeface="宋体" pitchFamily="2" charset="-122"/>
                              <a:cs typeface="+mn-cs"/>
                            </a:defRPr>
                          </a:lvl5pPr>
                          <a:lvl6pPr marL="2286000" algn="l" defTabSz="914400" rtl="0" eaLnBrk="1" latinLnBrk="0" hangingPunct="1">
                            <a:defRPr kern="1200">
                              <a:solidFill>
                                <a:schemeClr val="tx1"/>
                              </a:solidFill>
                              <a:latin typeface="Calibri" pitchFamily="34" charset="0"/>
                              <a:ea typeface="宋体" pitchFamily="2" charset="-122"/>
                              <a:cs typeface="+mn-cs"/>
                            </a:defRPr>
                          </a:lvl6pPr>
                          <a:lvl7pPr marL="2743200" algn="l" defTabSz="914400" rtl="0" eaLnBrk="1" latinLnBrk="0" hangingPunct="1">
                            <a:defRPr kern="1200">
                              <a:solidFill>
                                <a:schemeClr val="tx1"/>
                              </a:solidFill>
                              <a:latin typeface="Calibri" pitchFamily="34" charset="0"/>
                              <a:ea typeface="宋体" pitchFamily="2" charset="-122"/>
                              <a:cs typeface="+mn-cs"/>
                            </a:defRPr>
                          </a:lvl7pPr>
                          <a:lvl8pPr marL="3200400" algn="l" defTabSz="914400" rtl="0" eaLnBrk="1" latinLnBrk="0" hangingPunct="1">
                            <a:defRPr kern="1200">
                              <a:solidFill>
                                <a:schemeClr val="tx1"/>
                              </a:solidFill>
                              <a:latin typeface="Calibri" pitchFamily="34" charset="0"/>
                              <a:ea typeface="宋体" pitchFamily="2" charset="-122"/>
                              <a:cs typeface="+mn-cs"/>
                            </a:defRPr>
                          </a:lvl8pPr>
                          <a:lvl9pPr marL="3657600" algn="l" defTabSz="914400" rtl="0" eaLnBrk="1" latinLnBrk="0" hangingPunct="1">
                            <a:defRPr kern="1200">
                              <a:solidFill>
                                <a:schemeClr val="tx1"/>
                              </a:solidFill>
                              <a:latin typeface="Calibri" pitchFamily="34" charset="0"/>
                              <a:ea typeface="宋体" pitchFamily="2" charset="-122"/>
                              <a:cs typeface="+mn-cs"/>
                            </a:defRPr>
                          </a:lvl9pPr>
                        </a:lstStyle>
                        <a:p>
                          <a:fld id="{42CE54CF-9ACF-4E41-88F6-3207B8667414}" type="slidenum">
                            <a:rPr lang="zh-CN" altLang="en-US" smtClean="0"/>
                            <a:pPr/>
                            <a:t>68</a:t>
                          </a:fld>
                          <a:endParaRPr lang="zh-CN" altLang="en-US" smtClean="0"/>
                        </a:p>
                      </a:txBody>
                      <a:useSpRect/>
                    </a:txSp>
                  </a:sp>
                  <a:graphicFrame>
                    <a:nvGraphicFramePr>
                      <a:cNvPr id="152" name="图示 151"/>
                      <a:cNvGraphicFramePr/>
                    </a:nvGraphicFramePr>
                    <a:graphic>
                      <a:graphicData uri="http://schemas.openxmlformats.org/drawingml/2006/diagram">
                        <dgm:relIds xmlns:dgm="http://schemas.openxmlformats.org/drawingml/2006/diagram" xmlns:r="http://schemas.openxmlformats.org/officeDocument/2006/relationships" r:dm="rId38" r:lo="rId39" r:qs="rId40" r:cs="rId41"/>
                      </a:graphicData>
                    </a:graphic>
                    <a:xfrm>
                      <a:off x="1769034" y="2327213"/>
                      <a:ext cx="9149978" cy="3629834"/>
                    </a:xfrm>
                  </a:graphicFrame>
                </lc:lockedCanvas>
              </a:graphicData>
            </a:graphic>
          </wp:inline>
        </w:drawing>
      </w:r>
    </w:p>
    <w:p w:rsidR="007F4EB5" w:rsidRPr="007F4EB5" w:rsidRDefault="007F4EB5" w:rsidP="007F4EB5">
      <w:pPr>
        <w:widowControl/>
        <w:spacing w:line="360" w:lineRule="auto"/>
        <w:ind w:firstLine="465"/>
        <w:jc w:val="left"/>
        <w:rPr>
          <w:rFonts w:ascii="微软雅黑" w:eastAsia="微软雅黑" w:hAnsi="微软雅黑" w:cs="宋体"/>
          <w:color w:val="000000" w:themeColor="text1"/>
          <w:kern w:val="0"/>
          <w:szCs w:val="24"/>
        </w:rPr>
      </w:pPr>
    </w:p>
    <w:sectPr w:rsidR="007F4EB5" w:rsidRPr="007F4EB5" w:rsidSect="00E3458D">
      <w:headerReference w:type="default" r:id="rId42"/>
      <w:footerReference w:type="default" r:id="rId43"/>
      <w:pgSz w:w="16839" w:h="11907" w:orient="landscape" w:code="9"/>
      <w:pgMar w:top="1418" w:right="1440" w:bottom="1230" w:left="1440" w:header="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16A" w:rsidRDefault="0015616A" w:rsidP="008C254F">
      <w:r>
        <w:separator/>
      </w:r>
    </w:p>
  </w:endnote>
  <w:endnote w:type="continuationSeparator" w:id="1">
    <w:p w:rsidR="0015616A" w:rsidRDefault="0015616A" w:rsidP="008C25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ˎ̥">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AC7" w:rsidRDefault="00405AC7" w:rsidP="0085628B">
    <w:pPr>
      <w:pStyle w:val="a7"/>
      <w:jc w:val="right"/>
    </w:pPr>
    <w:r>
      <w:rPr>
        <w:kern w:val="0"/>
        <w:szCs w:val="21"/>
      </w:rPr>
      <w:t xml:space="preserve">- </w:t>
    </w:r>
    <w:r w:rsidR="00FE2E13">
      <w:rPr>
        <w:kern w:val="0"/>
        <w:szCs w:val="21"/>
      </w:rPr>
      <w:fldChar w:fldCharType="begin"/>
    </w:r>
    <w:r>
      <w:rPr>
        <w:kern w:val="0"/>
        <w:szCs w:val="21"/>
      </w:rPr>
      <w:instrText xml:space="preserve"> PAGE </w:instrText>
    </w:r>
    <w:r w:rsidR="00FE2E13">
      <w:rPr>
        <w:kern w:val="0"/>
        <w:szCs w:val="21"/>
      </w:rPr>
      <w:fldChar w:fldCharType="separate"/>
    </w:r>
    <w:r w:rsidR="002348A0">
      <w:rPr>
        <w:noProof/>
        <w:kern w:val="0"/>
        <w:szCs w:val="21"/>
      </w:rPr>
      <w:t>24</w:t>
    </w:r>
    <w:r w:rsidR="00FE2E1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16A" w:rsidRDefault="0015616A" w:rsidP="008C254F">
      <w:r>
        <w:separator/>
      </w:r>
    </w:p>
  </w:footnote>
  <w:footnote w:type="continuationSeparator" w:id="1">
    <w:p w:rsidR="0015616A" w:rsidRDefault="0015616A" w:rsidP="008C25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AC7" w:rsidRPr="00FC3474" w:rsidRDefault="00405AC7">
    <w:pPr>
      <w:rPr>
        <w:sz w:val="21"/>
        <w:szCs w:val="21"/>
      </w:rPr>
    </w:pPr>
    <w:r>
      <w:t xml:space="preserve">                                                                                 </w:t>
    </w:r>
    <w:r w:rsidR="00FC3474">
      <w:t xml:space="preserve">                 </w:t>
    </w:r>
    <w:r w:rsidRPr="00FC3474">
      <w:rPr>
        <w:rFonts w:hint="eastAsia"/>
        <w:b/>
        <w:color w:val="FF0000"/>
        <w:sz w:val="21"/>
        <w:szCs w:val="21"/>
      </w:rPr>
      <w:t>内部资料</w:t>
    </w:r>
    <w:r w:rsidRPr="00FC3474">
      <w:rPr>
        <w:b/>
        <w:color w:val="FF0000"/>
        <w:sz w:val="21"/>
        <w:szCs w:val="21"/>
      </w:rPr>
      <w:t xml:space="preserve"> </w:t>
    </w:r>
    <w:r w:rsidRPr="00FC3474">
      <w:rPr>
        <w:rFonts w:hint="eastAsia"/>
        <w:b/>
        <w:color w:val="FF0000"/>
        <w:sz w:val="21"/>
        <w:szCs w:val="21"/>
      </w:rPr>
      <w:t>注意保存</w:t>
    </w:r>
  </w:p>
  <w:p w:rsidR="00525EF3" w:rsidRDefault="00525EF3">
    <w:pPr>
      <w:rPr>
        <w:b/>
        <w:color w:val="FF0000"/>
      </w:rPr>
    </w:pPr>
  </w:p>
  <w:p w:rsidR="00525EF3" w:rsidRPr="005B6691" w:rsidRDefault="00FE2E13">
    <w:pPr>
      <w:rPr>
        <w:b/>
        <w:color w:val="FF0000"/>
      </w:rPr>
    </w:pPr>
    <w:hyperlink r:id="rId1" w:history="1">
      <w:r w:rsidR="00525EF3" w:rsidRPr="00834D18">
        <w:rPr>
          <w:rStyle w:val="a9"/>
          <w:rFonts w:ascii="黑体" w:eastAsia="黑体"/>
          <w:b/>
          <w:bCs/>
          <w:sz w:val="22"/>
          <w:szCs w:val="28"/>
          <w:shd w:val="clear" w:color="auto" w:fill="FFFFFF"/>
        </w:rPr>
        <w:t>http://www.zaos.org.cn</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4621C00"/>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AC28F4D8"/>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5A644BF4"/>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309A1412"/>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37BEF05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5D04D96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2E409402"/>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CAB0798A"/>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26A858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DAABFDA"/>
    <w:lvl w:ilvl="0">
      <w:start w:val="1"/>
      <w:numFmt w:val="bullet"/>
      <w:lvlText w:val=""/>
      <w:lvlJc w:val="left"/>
      <w:pPr>
        <w:tabs>
          <w:tab w:val="num" w:pos="360"/>
        </w:tabs>
        <w:ind w:left="360" w:hanging="360"/>
      </w:pPr>
      <w:rPr>
        <w:rFonts w:ascii="Wingdings" w:hAnsi="Wingdings" w:hint="default"/>
      </w:rPr>
    </w:lvl>
  </w:abstractNum>
  <w:abstractNum w:abstractNumId="10">
    <w:nsid w:val="080F57D8"/>
    <w:multiLevelType w:val="hybridMultilevel"/>
    <w:tmpl w:val="6518A04E"/>
    <w:lvl w:ilvl="0" w:tplc="425C128E">
      <w:start w:val="1"/>
      <w:numFmt w:val="bullet"/>
      <w:lvlText w:val="•"/>
      <w:lvlJc w:val="left"/>
      <w:pPr>
        <w:tabs>
          <w:tab w:val="num" w:pos="720"/>
        </w:tabs>
        <w:ind w:left="720" w:hanging="360"/>
      </w:pPr>
      <w:rPr>
        <w:rFonts w:ascii="Arial" w:hAnsi="Arial" w:hint="default"/>
      </w:rPr>
    </w:lvl>
    <w:lvl w:ilvl="1" w:tplc="5784F742" w:tentative="1">
      <w:start w:val="1"/>
      <w:numFmt w:val="bullet"/>
      <w:lvlText w:val="•"/>
      <w:lvlJc w:val="left"/>
      <w:pPr>
        <w:tabs>
          <w:tab w:val="num" w:pos="1440"/>
        </w:tabs>
        <w:ind w:left="1440" w:hanging="360"/>
      </w:pPr>
      <w:rPr>
        <w:rFonts w:ascii="Arial" w:hAnsi="Arial" w:hint="default"/>
      </w:rPr>
    </w:lvl>
    <w:lvl w:ilvl="2" w:tplc="405EAAC4" w:tentative="1">
      <w:start w:val="1"/>
      <w:numFmt w:val="bullet"/>
      <w:lvlText w:val="•"/>
      <w:lvlJc w:val="left"/>
      <w:pPr>
        <w:tabs>
          <w:tab w:val="num" w:pos="2160"/>
        </w:tabs>
        <w:ind w:left="2160" w:hanging="360"/>
      </w:pPr>
      <w:rPr>
        <w:rFonts w:ascii="Arial" w:hAnsi="Arial" w:hint="default"/>
      </w:rPr>
    </w:lvl>
    <w:lvl w:ilvl="3" w:tplc="8D98687A" w:tentative="1">
      <w:start w:val="1"/>
      <w:numFmt w:val="bullet"/>
      <w:lvlText w:val="•"/>
      <w:lvlJc w:val="left"/>
      <w:pPr>
        <w:tabs>
          <w:tab w:val="num" w:pos="2880"/>
        </w:tabs>
        <w:ind w:left="2880" w:hanging="360"/>
      </w:pPr>
      <w:rPr>
        <w:rFonts w:ascii="Arial" w:hAnsi="Arial" w:hint="default"/>
      </w:rPr>
    </w:lvl>
    <w:lvl w:ilvl="4" w:tplc="A006AC12" w:tentative="1">
      <w:start w:val="1"/>
      <w:numFmt w:val="bullet"/>
      <w:lvlText w:val="•"/>
      <w:lvlJc w:val="left"/>
      <w:pPr>
        <w:tabs>
          <w:tab w:val="num" w:pos="3600"/>
        </w:tabs>
        <w:ind w:left="3600" w:hanging="360"/>
      </w:pPr>
      <w:rPr>
        <w:rFonts w:ascii="Arial" w:hAnsi="Arial" w:hint="default"/>
      </w:rPr>
    </w:lvl>
    <w:lvl w:ilvl="5" w:tplc="B3DED356" w:tentative="1">
      <w:start w:val="1"/>
      <w:numFmt w:val="bullet"/>
      <w:lvlText w:val="•"/>
      <w:lvlJc w:val="left"/>
      <w:pPr>
        <w:tabs>
          <w:tab w:val="num" w:pos="4320"/>
        </w:tabs>
        <w:ind w:left="4320" w:hanging="360"/>
      </w:pPr>
      <w:rPr>
        <w:rFonts w:ascii="Arial" w:hAnsi="Arial" w:hint="default"/>
      </w:rPr>
    </w:lvl>
    <w:lvl w:ilvl="6" w:tplc="39DC0E00" w:tentative="1">
      <w:start w:val="1"/>
      <w:numFmt w:val="bullet"/>
      <w:lvlText w:val="•"/>
      <w:lvlJc w:val="left"/>
      <w:pPr>
        <w:tabs>
          <w:tab w:val="num" w:pos="5040"/>
        </w:tabs>
        <w:ind w:left="5040" w:hanging="360"/>
      </w:pPr>
      <w:rPr>
        <w:rFonts w:ascii="Arial" w:hAnsi="Arial" w:hint="default"/>
      </w:rPr>
    </w:lvl>
    <w:lvl w:ilvl="7" w:tplc="6A0263F0" w:tentative="1">
      <w:start w:val="1"/>
      <w:numFmt w:val="bullet"/>
      <w:lvlText w:val="•"/>
      <w:lvlJc w:val="left"/>
      <w:pPr>
        <w:tabs>
          <w:tab w:val="num" w:pos="5760"/>
        </w:tabs>
        <w:ind w:left="5760" w:hanging="360"/>
      </w:pPr>
      <w:rPr>
        <w:rFonts w:ascii="Arial" w:hAnsi="Arial" w:hint="default"/>
      </w:rPr>
    </w:lvl>
    <w:lvl w:ilvl="8" w:tplc="7018E97E" w:tentative="1">
      <w:start w:val="1"/>
      <w:numFmt w:val="bullet"/>
      <w:lvlText w:val="•"/>
      <w:lvlJc w:val="left"/>
      <w:pPr>
        <w:tabs>
          <w:tab w:val="num" w:pos="6480"/>
        </w:tabs>
        <w:ind w:left="6480" w:hanging="360"/>
      </w:pPr>
      <w:rPr>
        <w:rFonts w:ascii="Arial" w:hAnsi="Arial" w:hint="default"/>
      </w:rPr>
    </w:lvl>
  </w:abstractNum>
  <w:abstractNum w:abstractNumId="11">
    <w:nsid w:val="1CD306FB"/>
    <w:multiLevelType w:val="hybridMultilevel"/>
    <w:tmpl w:val="E5FA407E"/>
    <w:lvl w:ilvl="0" w:tplc="8968F9AA">
      <w:start w:val="1"/>
      <w:numFmt w:val="bullet"/>
      <w:lvlText w:val="•"/>
      <w:lvlJc w:val="left"/>
      <w:pPr>
        <w:tabs>
          <w:tab w:val="num" w:pos="720"/>
        </w:tabs>
        <w:ind w:left="720" w:hanging="360"/>
      </w:pPr>
      <w:rPr>
        <w:rFonts w:ascii="Arial" w:hAnsi="Arial" w:hint="default"/>
      </w:rPr>
    </w:lvl>
    <w:lvl w:ilvl="1" w:tplc="A6EA092E" w:tentative="1">
      <w:start w:val="1"/>
      <w:numFmt w:val="bullet"/>
      <w:lvlText w:val="•"/>
      <w:lvlJc w:val="left"/>
      <w:pPr>
        <w:tabs>
          <w:tab w:val="num" w:pos="1440"/>
        </w:tabs>
        <w:ind w:left="1440" w:hanging="360"/>
      </w:pPr>
      <w:rPr>
        <w:rFonts w:ascii="Arial" w:hAnsi="Arial" w:hint="default"/>
      </w:rPr>
    </w:lvl>
    <w:lvl w:ilvl="2" w:tplc="7B46CC98" w:tentative="1">
      <w:start w:val="1"/>
      <w:numFmt w:val="bullet"/>
      <w:lvlText w:val="•"/>
      <w:lvlJc w:val="left"/>
      <w:pPr>
        <w:tabs>
          <w:tab w:val="num" w:pos="2160"/>
        </w:tabs>
        <w:ind w:left="2160" w:hanging="360"/>
      </w:pPr>
      <w:rPr>
        <w:rFonts w:ascii="Arial" w:hAnsi="Arial" w:hint="default"/>
      </w:rPr>
    </w:lvl>
    <w:lvl w:ilvl="3" w:tplc="8ABA93AC" w:tentative="1">
      <w:start w:val="1"/>
      <w:numFmt w:val="bullet"/>
      <w:lvlText w:val="•"/>
      <w:lvlJc w:val="left"/>
      <w:pPr>
        <w:tabs>
          <w:tab w:val="num" w:pos="2880"/>
        </w:tabs>
        <w:ind w:left="2880" w:hanging="360"/>
      </w:pPr>
      <w:rPr>
        <w:rFonts w:ascii="Arial" w:hAnsi="Arial" w:hint="default"/>
      </w:rPr>
    </w:lvl>
    <w:lvl w:ilvl="4" w:tplc="A658F0B0" w:tentative="1">
      <w:start w:val="1"/>
      <w:numFmt w:val="bullet"/>
      <w:lvlText w:val="•"/>
      <w:lvlJc w:val="left"/>
      <w:pPr>
        <w:tabs>
          <w:tab w:val="num" w:pos="3600"/>
        </w:tabs>
        <w:ind w:left="3600" w:hanging="360"/>
      </w:pPr>
      <w:rPr>
        <w:rFonts w:ascii="Arial" w:hAnsi="Arial" w:hint="default"/>
      </w:rPr>
    </w:lvl>
    <w:lvl w:ilvl="5" w:tplc="257E9996" w:tentative="1">
      <w:start w:val="1"/>
      <w:numFmt w:val="bullet"/>
      <w:lvlText w:val="•"/>
      <w:lvlJc w:val="left"/>
      <w:pPr>
        <w:tabs>
          <w:tab w:val="num" w:pos="4320"/>
        </w:tabs>
        <w:ind w:left="4320" w:hanging="360"/>
      </w:pPr>
      <w:rPr>
        <w:rFonts w:ascii="Arial" w:hAnsi="Arial" w:hint="default"/>
      </w:rPr>
    </w:lvl>
    <w:lvl w:ilvl="6" w:tplc="B114BF0A" w:tentative="1">
      <w:start w:val="1"/>
      <w:numFmt w:val="bullet"/>
      <w:lvlText w:val="•"/>
      <w:lvlJc w:val="left"/>
      <w:pPr>
        <w:tabs>
          <w:tab w:val="num" w:pos="5040"/>
        </w:tabs>
        <w:ind w:left="5040" w:hanging="360"/>
      </w:pPr>
      <w:rPr>
        <w:rFonts w:ascii="Arial" w:hAnsi="Arial" w:hint="default"/>
      </w:rPr>
    </w:lvl>
    <w:lvl w:ilvl="7" w:tplc="6F602BF8" w:tentative="1">
      <w:start w:val="1"/>
      <w:numFmt w:val="bullet"/>
      <w:lvlText w:val="•"/>
      <w:lvlJc w:val="left"/>
      <w:pPr>
        <w:tabs>
          <w:tab w:val="num" w:pos="5760"/>
        </w:tabs>
        <w:ind w:left="5760" w:hanging="360"/>
      </w:pPr>
      <w:rPr>
        <w:rFonts w:ascii="Arial" w:hAnsi="Arial" w:hint="default"/>
      </w:rPr>
    </w:lvl>
    <w:lvl w:ilvl="8" w:tplc="3984E6B2" w:tentative="1">
      <w:start w:val="1"/>
      <w:numFmt w:val="bullet"/>
      <w:lvlText w:val="•"/>
      <w:lvlJc w:val="left"/>
      <w:pPr>
        <w:tabs>
          <w:tab w:val="num" w:pos="6480"/>
        </w:tabs>
        <w:ind w:left="6480" w:hanging="360"/>
      </w:pPr>
      <w:rPr>
        <w:rFonts w:ascii="Arial" w:hAnsi="Arial" w:hint="default"/>
      </w:rPr>
    </w:lvl>
  </w:abstractNum>
  <w:abstractNum w:abstractNumId="12">
    <w:nsid w:val="201F7F46"/>
    <w:multiLevelType w:val="hybridMultilevel"/>
    <w:tmpl w:val="CF0EDB8C"/>
    <w:lvl w:ilvl="0" w:tplc="B364B3F8">
      <w:start w:val="1"/>
      <w:numFmt w:val="japaneseCounting"/>
      <w:lvlText w:val="（%1）"/>
      <w:lvlJc w:val="left"/>
      <w:pPr>
        <w:ind w:left="1185" w:hanging="72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13">
    <w:nsid w:val="215A2A16"/>
    <w:multiLevelType w:val="hybridMultilevel"/>
    <w:tmpl w:val="ED880FBC"/>
    <w:lvl w:ilvl="0" w:tplc="4B3EF510">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C6C62F2"/>
    <w:multiLevelType w:val="hybridMultilevel"/>
    <w:tmpl w:val="66567D00"/>
    <w:lvl w:ilvl="0" w:tplc="D7289F5A">
      <w:start w:val="1"/>
      <w:numFmt w:val="bullet"/>
      <w:lvlText w:val="•"/>
      <w:lvlJc w:val="left"/>
      <w:pPr>
        <w:tabs>
          <w:tab w:val="num" w:pos="720"/>
        </w:tabs>
        <w:ind w:left="720" w:hanging="360"/>
      </w:pPr>
      <w:rPr>
        <w:rFonts w:ascii="Arial" w:hAnsi="Arial" w:hint="default"/>
      </w:rPr>
    </w:lvl>
    <w:lvl w:ilvl="1" w:tplc="BCFEEED6" w:tentative="1">
      <w:start w:val="1"/>
      <w:numFmt w:val="bullet"/>
      <w:lvlText w:val="•"/>
      <w:lvlJc w:val="left"/>
      <w:pPr>
        <w:tabs>
          <w:tab w:val="num" w:pos="1440"/>
        </w:tabs>
        <w:ind w:left="1440" w:hanging="360"/>
      </w:pPr>
      <w:rPr>
        <w:rFonts w:ascii="Arial" w:hAnsi="Arial" w:hint="default"/>
      </w:rPr>
    </w:lvl>
    <w:lvl w:ilvl="2" w:tplc="209EB264" w:tentative="1">
      <w:start w:val="1"/>
      <w:numFmt w:val="bullet"/>
      <w:lvlText w:val="•"/>
      <w:lvlJc w:val="left"/>
      <w:pPr>
        <w:tabs>
          <w:tab w:val="num" w:pos="2160"/>
        </w:tabs>
        <w:ind w:left="2160" w:hanging="360"/>
      </w:pPr>
      <w:rPr>
        <w:rFonts w:ascii="Arial" w:hAnsi="Arial" w:hint="default"/>
      </w:rPr>
    </w:lvl>
    <w:lvl w:ilvl="3" w:tplc="401E3D9A" w:tentative="1">
      <w:start w:val="1"/>
      <w:numFmt w:val="bullet"/>
      <w:lvlText w:val="•"/>
      <w:lvlJc w:val="left"/>
      <w:pPr>
        <w:tabs>
          <w:tab w:val="num" w:pos="2880"/>
        </w:tabs>
        <w:ind w:left="2880" w:hanging="360"/>
      </w:pPr>
      <w:rPr>
        <w:rFonts w:ascii="Arial" w:hAnsi="Arial" w:hint="default"/>
      </w:rPr>
    </w:lvl>
    <w:lvl w:ilvl="4" w:tplc="B86C93D8" w:tentative="1">
      <w:start w:val="1"/>
      <w:numFmt w:val="bullet"/>
      <w:lvlText w:val="•"/>
      <w:lvlJc w:val="left"/>
      <w:pPr>
        <w:tabs>
          <w:tab w:val="num" w:pos="3600"/>
        </w:tabs>
        <w:ind w:left="3600" w:hanging="360"/>
      </w:pPr>
      <w:rPr>
        <w:rFonts w:ascii="Arial" w:hAnsi="Arial" w:hint="default"/>
      </w:rPr>
    </w:lvl>
    <w:lvl w:ilvl="5" w:tplc="57E202D4" w:tentative="1">
      <w:start w:val="1"/>
      <w:numFmt w:val="bullet"/>
      <w:lvlText w:val="•"/>
      <w:lvlJc w:val="left"/>
      <w:pPr>
        <w:tabs>
          <w:tab w:val="num" w:pos="4320"/>
        </w:tabs>
        <w:ind w:left="4320" w:hanging="360"/>
      </w:pPr>
      <w:rPr>
        <w:rFonts w:ascii="Arial" w:hAnsi="Arial" w:hint="default"/>
      </w:rPr>
    </w:lvl>
    <w:lvl w:ilvl="6" w:tplc="DB2A5978" w:tentative="1">
      <w:start w:val="1"/>
      <w:numFmt w:val="bullet"/>
      <w:lvlText w:val="•"/>
      <w:lvlJc w:val="left"/>
      <w:pPr>
        <w:tabs>
          <w:tab w:val="num" w:pos="5040"/>
        </w:tabs>
        <w:ind w:left="5040" w:hanging="360"/>
      </w:pPr>
      <w:rPr>
        <w:rFonts w:ascii="Arial" w:hAnsi="Arial" w:hint="default"/>
      </w:rPr>
    </w:lvl>
    <w:lvl w:ilvl="7" w:tplc="E646BFA4" w:tentative="1">
      <w:start w:val="1"/>
      <w:numFmt w:val="bullet"/>
      <w:lvlText w:val="•"/>
      <w:lvlJc w:val="left"/>
      <w:pPr>
        <w:tabs>
          <w:tab w:val="num" w:pos="5760"/>
        </w:tabs>
        <w:ind w:left="5760" w:hanging="360"/>
      </w:pPr>
      <w:rPr>
        <w:rFonts w:ascii="Arial" w:hAnsi="Arial" w:hint="default"/>
      </w:rPr>
    </w:lvl>
    <w:lvl w:ilvl="8" w:tplc="88ACD022" w:tentative="1">
      <w:start w:val="1"/>
      <w:numFmt w:val="bullet"/>
      <w:lvlText w:val="•"/>
      <w:lvlJc w:val="left"/>
      <w:pPr>
        <w:tabs>
          <w:tab w:val="num" w:pos="6480"/>
        </w:tabs>
        <w:ind w:left="6480" w:hanging="360"/>
      </w:pPr>
      <w:rPr>
        <w:rFonts w:ascii="Arial" w:hAnsi="Arial" w:hint="default"/>
      </w:rPr>
    </w:lvl>
  </w:abstractNum>
  <w:abstractNum w:abstractNumId="15">
    <w:nsid w:val="4C1B6A39"/>
    <w:multiLevelType w:val="hybridMultilevel"/>
    <w:tmpl w:val="D222240E"/>
    <w:lvl w:ilvl="0" w:tplc="71206DC6">
      <w:start w:val="1"/>
      <w:numFmt w:val="bullet"/>
      <w:lvlText w:val="•"/>
      <w:lvlJc w:val="left"/>
      <w:pPr>
        <w:tabs>
          <w:tab w:val="num" w:pos="720"/>
        </w:tabs>
        <w:ind w:left="720" w:hanging="360"/>
      </w:pPr>
      <w:rPr>
        <w:rFonts w:ascii="Arial" w:hAnsi="Arial" w:hint="default"/>
      </w:rPr>
    </w:lvl>
    <w:lvl w:ilvl="1" w:tplc="AEBC0AC2" w:tentative="1">
      <w:start w:val="1"/>
      <w:numFmt w:val="bullet"/>
      <w:lvlText w:val="•"/>
      <w:lvlJc w:val="left"/>
      <w:pPr>
        <w:tabs>
          <w:tab w:val="num" w:pos="1440"/>
        </w:tabs>
        <w:ind w:left="1440" w:hanging="360"/>
      </w:pPr>
      <w:rPr>
        <w:rFonts w:ascii="Arial" w:hAnsi="Arial" w:hint="default"/>
      </w:rPr>
    </w:lvl>
    <w:lvl w:ilvl="2" w:tplc="131A425C" w:tentative="1">
      <w:start w:val="1"/>
      <w:numFmt w:val="bullet"/>
      <w:lvlText w:val="•"/>
      <w:lvlJc w:val="left"/>
      <w:pPr>
        <w:tabs>
          <w:tab w:val="num" w:pos="2160"/>
        </w:tabs>
        <w:ind w:left="2160" w:hanging="360"/>
      </w:pPr>
      <w:rPr>
        <w:rFonts w:ascii="Arial" w:hAnsi="Arial" w:hint="default"/>
      </w:rPr>
    </w:lvl>
    <w:lvl w:ilvl="3" w:tplc="11AAE798" w:tentative="1">
      <w:start w:val="1"/>
      <w:numFmt w:val="bullet"/>
      <w:lvlText w:val="•"/>
      <w:lvlJc w:val="left"/>
      <w:pPr>
        <w:tabs>
          <w:tab w:val="num" w:pos="2880"/>
        </w:tabs>
        <w:ind w:left="2880" w:hanging="360"/>
      </w:pPr>
      <w:rPr>
        <w:rFonts w:ascii="Arial" w:hAnsi="Arial" w:hint="default"/>
      </w:rPr>
    </w:lvl>
    <w:lvl w:ilvl="4" w:tplc="687E29AC" w:tentative="1">
      <w:start w:val="1"/>
      <w:numFmt w:val="bullet"/>
      <w:lvlText w:val="•"/>
      <w:lvlJc w:val="left"/>
      <w:pPr>
        <w:tabs>
          <w:tab w:val="num" w:pos="3600"/>
        </w:tabs>
        <w:ind w:left="3600" w:hanging="360"/>
      </w:pPr>
      <w:rPr>
        <w:rFonts w:ascii="Arial" w:hAnsi="Arial" w:hint="default"/>
      </w:rPr>
    </w:lvl>
    <w:lvl w:ilvl="5" w:tplc="13585F9E" w:tentative="1">
      <w:start w:val="1"/>
      <w:numFmt w:val="bullet"/>
      <w:lvlText w:val="•"/>
      <w:lvlJc w:val="left"/>
      <w:pPr>
        <w:tabs>
          <w:tab w:val="num" w:pos="4320"/>
        </w:tabs>
        <w:ind w:left="4320" w:hanging="360"/>
      </w:pPr>
      <w:rPr>
        <w:rFonts w:ascii="Arial" w:hAnsi="Arial" w:hint="default"/>
      </w:rPr>
    </w:lvl>
    <w:lvl w:ilvl="6" w:tplc="8984EE2E" w:tentative="1">
      <w:start w:val="1"/>
      <w:numFmt w:val="bullet"/>
      <w:lvlText w:val="•"/>
      <w:lvlJc w:val="left"/>
      <w:pPr>
        <w:tabs>
          <w:tab w:val="num" w:pos="5040"/>
        </w:tabs>
        <w:ind w:left="5040" w:hanging="360"/>
      </w:pPr>
      <w:rPr>
        <w:rFonts w:ascii="Arial" w:hAnsi="Arial" w:hint="default"/>
      </w:rPr>
    </w:lvl>
    <w:lvl w:ilvl="7" w:tplc="0C125F2E" w:tentative="1">
      <w:start w:val="1"/>
      <w:numFmt w:val="bullet"/>
      <w:lvlText w:val="•"/>
      <w:lvlJc w:val="left"/>
      <w:pPr>
        <w:tabs>
          <w:tab w:val="num" w:pos="5760"/>
        </w:tabs>
        <w:ind w:left="5760" w:hanging="360"/>
      </w:pPr>
      <w:rPr>
        <w:rFonts w:ascii="Arial" w:hAnsi="Arial" w:hint="default"/>
      </w:rPr>
    </w:lvl>
    <w:lvl w:ilvl="8" w:tplc="CCDC8B1A" w:tentative="1">
      <w:start w:val="1"/>
      <w:numFmt w:val="bullet"/>
      <w:lvlText w:val="•"/>
      <w:lvlJc w:val="left"/>
      <w:pPr>
        <w:tabs>
          <w:tab w:val="num" w:pos="6480"/>
        </w:tabs>
        <w:ind w:left="6480" w:hanging="360"/>
      </w:pPr>
      <w:rPr>
        <w:rFonts w:ascii="Arial" w:hAnsi="Arial" w:hint="default"/>
      </w:rPr>
    </w:lvl>
  </w:abstractNum>
  <w:abstractNum w:abstractNumId="16">
    <w:nsid w:val="61E30FDE"/>
    <w:multiLevelType w:val="hybridMultilevel"/>
    <w:tmpl w:val="C48013A2"/>
    <w:lvl w:ilvl="0" w:tplc="833C2F62">
      <w:start w:val="1"/>
      <w:numFmt w:val="bullet"/>
      <w:lvlText w:val="•"/>
      <w:lvlJc w:val="left"/>
      <w:pPr>
        <w:tabs>
          <w:tab w:val="num" w:pos="720"/>
        </w:tabs>
        <w:ind w:left="720" w:hanging="360"/>
      </w:pPr>
      <w:rPr>
        <w:rFonts w:ascii="Arial" w:hAnsi="Arial" w:hint="default"/>
      </w:rPr>
    </w:lvl>
    <w:lvl w:ilvl="1" w:tplc="42E6BFF8" w:tentative="1">
      <w:start w:val="1"/>
      <w:numFmt w:val="bullet"/>
      <w:lvlText w:val="•"/>
      <w:lvlJc w:val="left"/>
      <w:pPr>
        <w:tabs>
          <w:tab w:val="num" w:pos="1440"/>
        </w:tabs>
        <w:ind w:left="1440" w:hanging="360"/>
      </w:pPr>
      <w:rPr>
        <w:rFonts w:ascii="Arial" w:hAnsi="Arial" w:hint="default"/>
      </w:rPr>
    </w:lvl>
    <w:lvl w:ilvl="2" w:tplc="39362BCE" w:tentative="1">
      <w:start w:val="1"/>
      <w:numFmt w:val="bullet"/>
      <w:lvlText w:val="•"/>
      <w:lvlJc w:val="left"/>
      <w:pPr>
        <w:tabs>
          <w:tab w:val="num" w:pos="2160"/>
        </w:tabs>
        <w:ind w:left="2160" w:hanging="360"/>
      </w:pPr>
      <w:rPr>
        <w:rFonts w:ascii="Arial" w:hAnsi="Arial" w:hint="default"/>
      </w:rPr>
    </w:lvl>
    <w:lvl w:ilvl="3" w:tplc="F18E9804" w:tentative="1">
      <w:start w:val="1"/>
      <w:numFmt w:val="bullet"/>
      <w:lvlText w:val="•"/>
      <w:lvlJc w:val="left"/>
      <w:pPr>
        <w:tabs>
          <w:tab w:val="num" w:pos="2880"/>
        </w:tabs>
        <w:ind w:left="2880" w:hanging="360"/>
      </w:pPr>
      <w:rPr>
        <w:rFonts w:ascii="Arial" w:hAnsi="Arial" w:hint="default"/>
      </w:rPr>
    </w:lvl>
    <w:lvl w:ilvl="4" w:tplc="681A0E90" w:tentative="1">
      <w:start w:val="1"/>
      <w:numFmt w:val="bullet"/>
      <w:lvlText w:val="•"/>
      <w:lvlJc w:val="left"/>
      <w:pPr>
        <w:tabs>
          <w:tab w:val="num" w:pos="3600"/>
        </w:tabs>
        <w:ind w:left="3600" w:hanging="360"/>
      </w:pPr>
      <w:rPr>
        <w:rFonts w:ascii="Arial" w:hAnsi="Arial" w:hint="default"/>
      </w:rPr>
    </w:lvl>
    <w:lvl w:ilvl="5" w:tplc="F70A0264" w:tentative="1">
      <w:start w:val="1"/>
      <w:numFmt w:val="bullet"/>
      <w:lvlText w:val="•"/>
      <w:lvlJc w:val="left"/>
      <w:pPr>
        <w:tabs>
          <w:tab w:val="num" w:pos="4320"/>
        </w:tabs>
        <w:ind w:left="4320" w:hanging="360"/>
      </w:pPr>
      <w:rPr>
        <w:rFonts w:ascii="Arial" w:hAnsi="Arial" w:hint="default"/>
      </w:rPr>
    </w:lvl>
    <w:lvl w:ilvl="6" w:tplc="F46217CC" w:tentative="1">
      <w:start w:val="1"/>
      <w:numFmt w:val="bullet"/>
      <w:lvlText w:val="•"/>
      <w:lvlJc w:val="left"/>
      <w:pPr>
        <w:tabs>
          <w:tab w:val="num" w:pos="5040"/>
        </w:tabs>
        <w:ind w:left="5040" w:hanging="360"/>
      </w:pPr>
      <w:rPr>
        <w:rFonts w:ascii="Arial" w:hAnsi="Arial" w:hint="default"/>
      </w:rPr>
    </w:lvl>
    <w:lvl w:ilvl="7" w:tplc="3E4E8132" w:tentative="1">
      <w:start w:val="1"/>
      <w:numFmt w:val="bullet"/>
      <w:lvlText w:val="•"/>
      <w:lvlJc w:val="left"/>
      <w:pPr>
        <w:tabs>
          <w:tab w:val="num" w:pos="5760"/>
        </w:tabs>
        <w:ind w:left="5760" w:hanging="360"/>
      </w:pPr>
      <w:rPr>
        <w:rFonts w:ascii="Arial" w:hAnsi="Arial" w:hint="default"/>
      </w:rPr>
    </w:lvl>
    <w:lvl w:ilvl="8" w:tplc="D5DAA04C" w:tentative="1">
      <w:start w:val="1"/>
      <w:numFmt w:val="bullet"/>
      <w:lvlText w:val="•"/>
      <w:lvlJc w:val="left"/>
      <w:pPr>
        <w:tabs>
          <w:tab w:val="num" w:pos="6480"/>
        </w:tabs>
        <w:ind w:left="6480" w:hanging="360"/>
      </w:pPr>
      <w:rPr>
        <w:rFonts w:ascii="Arial" w:hAnsi="Arial" w:hint="default"/>
      </w:rPr>
    </w:lvl>
  </w:abstractNum>
  <w:abstractNum w:abstractNumId="17">
    <w:nsid w:val="67893212"/>
    <w:multiLevelType w:val="hybridMultilevel"/>
    <w:tmpl w:val="48ECF406"/>
    <w:lvl w:ilvl="0" w:tplc="27207E80">
      <w:start w:val="1"/>
      <w:numFmt w:val="bullet"/>
      <w:lvlText w:val=""/>
      <w:lvlJc w:val="left"/>
      <w:pPr>
        <w:tabs>
          <w:tab w:val="num" w:pos="360"/>
        </w:tabs>
        <w:ind w:left="360" w:hanging="360"/>
      </w:pPr>
      <w:rPr>
        <w:rFonts w:ascii="Wingdings" w:hAnsi="Wingdings" w:hint="default"/>
      </w:rPr>
    </w:lvl>
    <w:lvl w:ilvl="1" w:tplc="78F2409E" w:tentative="1">
      <w:start w:val="1"/>
      <w:numFmt w:val="bullet"/>
      <w:lvlText w:val=""/>
      <w:lvlJc w:val="left"/>
      <w:pPr>
        <w:tabs>
          <w:tab w:val="num" w:pos="1440"/>
        </w:tabs>
        <w:ind w:left="1440" w:hanging="360"/>
      </w:pPr>
      <w:rPr>
        <w:rFonts w:ascii="Wingdings" w:hAnsi="Wingdings" w:hint="default"/>
      </w:rPr>
    </w:lvl>
    <w:lvl w:ilvl="2" w:tplc="56042D58" w:tentative="1">
      <w:start w:val="1"/>
      <w:numFmt w:val="bullet"/>
      <w:lvlText w:val=""/>
      <w:lvlJc w:val="left"/>
      <w:pPr>
        <w:tabs>
          <w:tab w:val="num" w:pos="2160"/>
        </w:tabs>
        <w:ind w:left="2160" w:hanging="360"/>
      </w:pPr>
      <w:rPr>
        <w:rFonts w:ascii="Wingdings" w:hAnsi="Wingdings" w:hint="default"/>
      </w:rPr>
    </w:lvl>
    <w:lvl w:ilvl="3" w:tplc="F79A795C" w:tentative="1">
      <w:start w:val="1"/>
      <w:numFmt w:val="bullet"/>
      <w:lvlText w:val=""/>
      <w:lvlJc w:val="left"/>
      <w:pPr>
        <w:tabs>
          <w:tab w:val="num" w:pos="2880"/>
        </w:tabs>
        <w:ind w:left="2880" w:hanging="360"/>
      </w:pPr>
      <w:rPr>
        <w:rFonts w:ascii="Wingdings" w:hAnsi="Wingdings" w:hint="default"/>
      </w:rPr>
    </w:lvl>
    <w:lvl w:ilvl="4" w:tplc="20305538" w:tentative="1">
      <w:start w:val="1"/>
      <w:numFmt w:val="bullet"/>
      <w:lvlText w:val=""/>
      <w:lvlJc w:val="left"/>
      <w:pPr>
        <w:tabs>
          <w:tab w:val="num" w:pos="3600"/>
        </w:tabs>
        <w:ind w:left="3600" w:hanging="360"/>
      </w:pPr>
      <w:rPr>
        <w:rFonts w:ascii="Wingdings" w:hAnsi="Wingdings" w:hint="default"/>
      </w:rPr>
    </w:lvl>
    <w:lvl w:ilvl="5" w:tplc="B7188912" w:tentative="1">
      <w:start w:val="1"/>
      <w:numFmt w:val="bullet"/>
      <w:lvlText w:val=""/>
      <w:lvlJc w:val="left"/>
      <w:pPr>
        <w:tabs>
          <w:tab w:val="num" w:pos="4320"/>
        </w:tabs>
        <w:ind w:left="4320" w:hanging="360"/>
      </w:pPr>
      <w:rPr>
        <w:rFonts w:ascii="Wingdings" w:hAnsi="Wingdings" w:hint="default"/>
      </w:rPr>
    </w:lvl>
    <w:lvl w:ilvl="6" w:tplc="1E167F20" w:tentative="1">
      <w:start w:val="1"/>
      <w:numFmt w:val="bullet"/>
      <w:lvlText w:val=""/>
      <w:lvlJc w:val="left"/>
      <w:pPr>
        <w:tabs>
          <w:tab w:val="num" w:pos="5040"/>
        </w:tabs>
        <w:ind w:left="5040" w:hanging="360"/>
      </w:pPr>
      <w:rPr>
        <w:rFonts w:ascii="Wingdings" w:hAnsi="Wingdings" w:hint="default"/>
      </w:rPr>
    </w:lvl>
    <w:lvl w:ilvl="7" w:tplc="657CA618" w:tentative="1">
      <w:start w:val="1"/>
      <w:numFmt w:val="bullet"/>
      <w:lvlText w:val=""/>
      <w:lvlJc w:val="left"/>
      <w:pPr>
        <w:tabs>
          <w:tab w:val="num" w:pos="5760"/>
        </w:tabs>
        <w:ind w:left="5760" w:hanging="360"/>
      </w:pPr>
      <w:rPr>
        <w:rFonts w:ascii="Wingdings" w:hAnsi="Wingdings" w:hint="default"/>
      </w:rPr>
    </w:lvl>
    <w:lvl w:ilvl="8" w:tplc="9AF081A0" w:tentative="1">
      <w:start w:val="1"/>
      <w:numFmt w:val="bullet"/>
      <w:lvlText w:val=""/>
      <w:lvlJc w:val="left"/>
      <w:pPr>
        <w:tabs>
          <w:tab w:val="num" w:pos="6480"/>
        </w:tabs>
        <w:ind w:left="6480" w:hanging="360"/>
      </w:pPr>
      <w:rPr>
        <w:rFonts w:ascii="Wingdings" w:hAnsi="Wingdings" w:hint="default"/>
      </w:rPr>
    </w:lvl>
  </w:abstractNum>
  <w:abstractNum w:abstractNumId="18">
    <w:nsid w:val="6E563B90"/>
    <w:multiLevelType w:val="hybridMultilevel"/>
    <w:tmpl w:val="63788DFA"/>
    <w:lvl w:ilvl="0" w:tplc="FA8C96CA">
      <w:start w:val="1"/>
      <w:numFmt w:val="japaneseCounting"/>
      <w:lvlText w:val="%1、"/>
      <w:lvlJc w:val="left"/>
      <w:pPr>
        <w:ind w:left="600" w:hanging="60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5"/>
  </w:num>
  <w:num w:numId="15">
    <w:abstractNumId w:val="16"/>
  </w:num>
  <w:num w:numId="16">
    <w:abstractNumId w:val="11"/>
  </w:num>
  <w:num w:numId="17">
    <w:abstractNumId w:val="14"/>
  </w:num>
  <w:num w:numId="18">
    <w:abstractNumId w:val="10"/>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5298"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752AA"/>
    <w:rsid w:val="00014D39"/>
    <w:rsid w:val="00020D6F"/>
    <w:rsid w:val="00022659"/>
    <w:rsid w:val="00051910"/>
    <w:rsid w:val="00052A38"/>
    <w:rsid w:val="00060C96"/>
    <w:rsid w:val="00061CAE"/>
    <w:rsid w:val="00077038"/>
    <w:rsid w:val="000A106E"/>
    <w:rsid w:val="000B430A"/>
    <w:rsid w:val="000D1DF3"/>
    <w:rsid w:val="000D6AEE"/>
    <w:rsid w:val="000F27BD"/>
    <w:rsid w:val="00112E9E"/>
    <w:rsid w:val="001452F2"/>
    <w:rsid w:val="00150464"/>
    <w:rsid w:val="0015616A"/>
    <w:rsid w:val="00164EC6"/>
    <w:rsid w:val="00173225"/>
    <w:rsid w:val="001812E6"/>
    <w:rsid w:val="0018258C"/>
    <w:rsid w:val="00191AEA"/>
    <w:rsid w:val="001925DE"/>
    <w:rsid w:val="00193750"/>
    <w:rsid w:val="001A124B"/>
    <w:rsid w:val="001C237C"/>
    <w:rsid w:val="001C3259"/>
    <w:rsid w:val="00202E5C"/>
    <w:rsid w:val="00225368"/>
    <w:rsid w:val="002348A0"/>
    <w:rsid w:val="0024012C"/>
    <w:rsid w:val="00246362"/>
    <w:rsid w:val="00252828"/>
    <w:rsid w:val="00255B29"/>
    <w:rsid w:val="00262F34"/>
    <w:rsid w:val="00273F8E"/>
    <w:rsid w:val="0028082E"/>
    <w:rsid w:val="00283822"/>
    <w:rsid w:val="002857C8"/>
    <w:rsid w:val="002A7AA0"/>
    <w:rsid w:val="002C5630"/>
    <w:rsid w:val="002F58A2"/>
    <w:rsid w:val="00304138"/>
    <w:rsid w:val="00306781"/>
    <w:rsid w:val="00326026"/>
    <w:rsid w:val="0032722E"/>
    <w:rsid w:val="0034511D"/>
    <w:rsid w:val="00346BA4"/>
    <w:rsid w:val="00357750"/>
    <w:rsid w:val="003613D5"/>
    <w:rsid w:val="00363057"/>
    <w:rsid w:val="00373289"/>
    <w:rsid w:val="00377E28"/>
    <w:rsid w:val="003A1581"/>
    <w:rsid w:val="003A1F04"/>
    <w:rsid w:val="003C214C"/>
    <w:rsid w:val="003C3908"/>
    <w:rsid w:val="003C3D65"/>
    <w:rsid w:val="003C43E7"/>
    <w:rsid w:val="003D7164"/>
    <w:rsid w:val="003E4281"/>
    <w:rsid w:val="00405AC7"/>
    <w:rsid w:val="004109EC"/>
    <w:rsid w:val="004144C8"/>
    <w:rsid w:val="004162E0"/>
    <w:rsid w:val="0043050C"/>
    <w:rsid w:val="004502A3"/>
    <w:rsid w:val="0045225C"/>
    <w:rsid w:val="004541DA"/>
    <w:rsid w:val="00483482"/>
    <w:rsid w:val="004A0A0B"/>
    <w:rsid w:val="004B3CBC"/>
    <w:rsid w:val="004B73EC"/>
    <w:rsid w:val="004B767A"/>
    <w:rsid w:val="004D3E9A"/>
    <w:rsid w:val="004F03B9"/>
    <w:rsid w:val="004F1868"/>
    <w:rsid w:val="004F40ED"/>
    <w:rsid w:val="005168E9"/>
    <w:rsid w:val="00516F4A"/>
    <w:rsid w:val="00525EF3"/>
    <w:rsid w:val="00540E55"/>
    <w:rsid w:val="00545D45"/>
    <w:rsid w:val="0055074A"/>
    <w:rsid w:val="00552CC6"/>
    <w:rsid w:val="005752AA"/>
    <w:rsid w:val="005860ED"/>
    <w:rsid w:val="005926B8"/>
    <w:rsid w:val="00594B3C"/>
    <w:rsid w:val="005A04DD"/>
    <w:rsid w:val="005A7FBE"/>
    <w:rsid w:val="005B6691"/>
    <w:rsid w:val="005D5C24"/>
    <w:rsid w:val="005E1884"/>
    <w:rsid w:val="005E36BF"/>
    <w:rsid w:val="00622728"/>
    <w:rsid w:val="006268DB"/>
    <w:rsid w:val="006420B7"/>
    <w:rsid w:val="006477DB"/>
    <w:rsid w:val="00661D65"/>
    <w:rsid w:val="006A270F"/>
    <w:rsid w:val="006B0F5D"/>
    <w:rsid w:val="006C1E01"/>
    <w:rsid w:val="006D3A69"/>
    <w:rsid w:val="006D40AC"/>
    <w:rsid w:val="006E5202"/>
    <w:rsid w:val="006E7F77"/>
    <w:rsid w:val="006F20FC"/>
    <w:rsid w:val="00707541"/>
    <w:rsid w:val="00733785"/>
    <w:rsid w:val="00733E62"/>
    <w:rsid w:val="00736881"/>
    <w:rsid w:val="0073726E"/>
    <w:rsid w:val="0074370A"/>
    <w:rsid w:val="007443F4"/>
    <w:rsid w:val="00754A8A"/>
    <w:rsid w:val="0076395C"/>
    <w:rsid w:val="00767A71"/>
    <w:rsid w:val="0078078B"/>
    <w:rsid w:val="00784673"/>
    <w:rsid w:val="007A0377"/>
    <w:rsid w:val="007A1DA0"/>
    <w:rsid w:val="007B06E9"/>
    <w:rsid w:val="007C01EE"/>
    <w:rsid w:val="007C7A4F"/>
    <w:rsid w:val="007F4EB5"/>
    <w:rsid w:val="00815E2E"/>
    <w:rsid w:val="00816FCE"/>
    <w:rsid w:val="00825F7C"/>
    <w:rsid w:val="008537AD"/>
    <w:rsid w:val="0085628B"/>
    <w:rsid w:val="00866E3F"/>
    <w:rsid w:val="00867AE5"/>
    <w:rsid w:val="00877AB9"/>
    <w:rsid w:val="00881303"/>
    <w:rsid w:val="008B2E71"/>
    <w:rsid w:val="008C254F"/>
    <w:rsid w:val="008C3C3D"/>
    <w:rsid w:val="008D2B49"/>
    <w:rsid w:val="008E0AB1"/>
    <w:rsid w:val="008E4411"/>
    <w:rsid w:val="008F4D7C"/>
    <w:rsid w:val="00934D7D"/>
    <w:rsid w:val="00975387"/>
    <w:rsid w:val="0098300E"/>
    <w:rsid w:val="00984FD9"/>
    <w:rsid w:val="009A59C8"/>
    <w:rsid w:val="009B0CB1"/>
    <w:rsid w:val="009C533C"/>
    <w:rsid w:val="009D1925"/>
    <w:rsid w:val="009D4F66"/>
    <w:rsid w:val="009E1E95"/>
    <w:rsid w:val="009E4673"/>
    <w:rsid w:val="009E63FC"/>
    <w:rsid w:val="009F6D00"/>
    <w:rsid w:val="00A00F11"/>
    <w:rsid w:val="00A02BF0"/>
    <w:rsid w:val="00A04C94"/>
    <w:rsid w:val="00A10600"/>
    <w:rsid w:val="00A34324"/>
    <w:rsid w:val="00A45C17"/>
    <w:rsid w:val="00A57FDB"/>
    <w:rsid w:val="00A66CBA"/>
    <w:rsid w:val="00A73A4C"/>
    <w:rsid w:val="00A92631"/>
    <w:rsid w:val="00AB02BE"/>
    <w:rsid w:val="00AC2E27"/>
    <w:rsid w:val="00AE45C8"/>
    <w:rsid w:val="00AE621A"/>
    <w:rsid w:val="00AE65B5"/>
    <w:rsid w:val="00AF040B"/>
    <w:rsid w:val="00AF58EB"/>
    <w:rsid w:val="00B32377"/>
    <w:rsid w:val="00B42FC8"/>
    <w:rsid w:val="00B44C77"/>
    <w:rsid w:val="00B74479"/>
    <w:rsid w:val="00B76528"/>
    <w:rsid w:val="00B80776"/>
    <w:rsid w:val="00B8118E"/>
    <w:rsid w:val="00B84107"/>
    <w:rsid w:val="00B86458"/>
    <w:rsid w:val="00BB0850"/>
    <w:rsid w:val="00BE4EB9"/>
    <w:rsid w:val="00BF17D0"/>
    <w:rsid w:val="00C05C8D"/>
    <w:rsid w:val="00C137C2"/>
    <w:rsid w:val="00C26112"/>
    <w:rsid w:val="00C26132"/>
    <w:rsid w:val="00C4307D"/>
    <w:rsid w:val="00C54EFC"/>
    <w:rsid w:val="00C63EB1"/>
    <w:rsid w:val="00C800F5"/>
    <w:rsid w:val="00C85215"/>
    <w:rsid w:val="00C90C09"/>
    <w:rsid w:val="00C95EAD"/>
    <w:rsid w:val="00C97FDA"/>
    <w:rsid w:val="00CA5922"/>
    <w:rsid w:val="00CD5368"/>
    <w:rsid w:val="00D00D78"/>
    <w:rsid w:val="00D14E78"/>
    <w:rsid w:val="00D24E23"/>
    <w:rsid w:val="00D33F19"/>
    <w:rsid w:val="00D63C24"/>
    <w:rsid w:val="00D86C4F"/>
    <w:rsid w:val="00DD2726"/>
    <w:rsid w:val="00DF2862"/>
    <w:rsid w:val="00DF43F8"/>
    <w:rsid w:val="00DF798F"/>
    <w:rsid w:val="00E2229D"/>
    <w:rsid w:val="00E3458D"/>
    <w:rsid w:val="00E346DC"/>
    <w:rsid w:val="00E35985"/>
    <w:rsid w:val="00E413D1"/>
    <w:rsid w:val="00E61AA2"/>
    <w:rsid w:val="00E621B8"/>
    <w:rsid w:val="00E90B2B"/>
    <w:rsid w:val="00EA37CB"/>
    <w:rsid w:val="00EC2F96"/>
    <w:rsid w:val="00EC53FD"/>
    <w:rsid w:val="00ED1806"/>
    <w:rsid w:val="00ED334D"/>
    <w:rsid w:val="00F21918"/>
    <w:rsid w:val="00F32C3D"/>
    <w:rsid w:val="00F337BB"/>
    <w:rsid w:val="00F36388"/>
    <w:rsid w:val="00F7082B"/>
    <w:rsid w:val="00F73321"/>
    <w:rsid w:val="00F82F60"/>
    <w:rsid w:val="00F833E2"/>
    <w:rsid w:val="00F911EC"/>
    <w:rsid w:val="00F91967"/>
    <w:rsid w:val="00FA2337"/>
    <w:rsid w:val="00FB3354"/>
    <w:rsid w:val="00FC3474"/>
    <w:rsid w:val="00FD5F55"/>
    <w:rsid w:val="00FE102E"/>
    <w:rsid w:val="00FE13D4"/>
    <w:rsid w:val="00FE2E13"/>
    <w:rsid w:val="00FF6A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5DE"/>
    <w:pPr>
      <w:widowControl w:val="0"/>
      <w:jc w:val="both"/>
    </w:pPr>
    <w:rPr>
      <w:kern w:val="2"/>
      <w:sz w:val="24"/>
      <w:szCs w:val="22"/>
    </w:rPr>
  </w:style>
  <w:style w:type="paragraph" w:styleId="1">
    <w:name w:val="heading 1"/>
    <w:basedOn w:val="a"/>
    <w:link w:val="1Char"/>
    <w:uiPriority w:val="99"/>
    <w:qFormat/>
    <w:rsid w:val="005E36BF"/>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9"/>
    <w:qFormat/>
    <w:rsid w:val="009E1E95"/>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rsid w:val="009E1E95"/>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C95EAD"/>
    <w:pPr>
      <w:keepNext/>
      <w:keepLines/>
      <w:spacing w:before="40" w:after="5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E36BF"/>
    <w:rPr>
      <w:rFonts w:ascii="宋体" w:eastAsia="宋体" w:hAnsi="宋体" w:cs="宋体"/>
      <w:b/>
      <w:bCs/>
      <w:kern w:val="36"/>
      <w:sz w:val="48"/>
      <w:szCs w:val="48"/>
    </w:rPr>
  </w:style>
  <w:style w:type="character" w:customStyle="1" w:styleId="2Char">
    <w:name w:val="标题 2 Char"/>
    <w:basedOn w:val="a0"/>
    <w:link w:val="2"/>
    <w:uiPriority w:val="99"/>
    <w:locked/>
    <w:rsid w:val="009E1E95"/>
    <w:rPr>
      <w:rFonts w:ascii="Cambria" w:eastAsia="宋体" w:hAnsi="Cambria" w:cs="Times New Roman"/>
      <w:b/>
      <w:bCs/>
      <w:sz w:val="32"/>
      <w:szCs w:val="32"/>
    </w:rPr>
  </w:style>
  <w:style w:type="character" w:customStyle="1" w:styleId="3Char">
    <w:name w:val="标题 3 Char"/>
    <w:basedOn w:val="a0"/>
    <w:link w:val="3"/>
    <w:uiPriority w:val="99"/>
    <w:locked/>
    <w:rsid w:val="009E1E95"/>
    <w:rPr>
      <w:rFonts w:cs="Times New Roman"/>
      <w:b/>
      <w:bCs/>
      <w:sz w:val="32"/>
      <w:szCs w:val="32"/>
    </w:rPr>
  </w:style>
  <w:style w:type="character" w:customStyle="1" w:styleId="4Char">
    <w:name w:val="标题 4 Char"/>
    <w:basedOn w:val="a0"/>
    <w:link w:val="4"/>
    <w:uiPriority w:val="99"/>
    <w:locked/>
    <w:rsid w:val="00C95EAD"/>
    <w:rPr>
      <w:rFonts w:ascii="Cambria" w:hAnsi="Cambria"/>
      <w:b/>
      <w:bCs/>
      <w:kern w:val="2"/>
      <w:sz w:val="28"/>
      <w:szCs w:val="28"/>
    </w:rPr>
  </w:style>
  <w:style w:type="character" w:styleId="a3">
    <w:name w:val="Strong"/>
    <w:basedOn w:val="a0"/>
    <w:uiPriority w:val="22"/>
    <w:qFormat/>
    <w:rsid w:val="005752AA"/>
    <w:rPr>
      <w:rFonts w:cs="Times New Roman"/>
      <w:b/>
      <w:bCs/>
    </w:rPr>
  </w:style>
  <w:style w:type="paragraph" w:styleId="a4">
    <w:name w:val="List Paragraph"/>
    <w:basedOn w:val="a"/>
    <w:uiPriority w:val="99"/>
    <w:qFormat/>
    <w:rsid w:val="005752AA"/>
    <w:pPr>
      <w:ind w:firstLineChars="200" w:firstLine="420"/>
    </w:pPr>
  </w:style>
  <w:style w:type="paragraph" w:styleId="a5">
    <w:name w:val="Balloon Text"/>
    <w:basedOn w:val="a"/>
    <w:link w:val="Char"/>
    <w:uiPriority w:val="99"/>
    <w:semiHidden/>
    <w:rsid w:val="008E4411"/>
    <w:rPr>
      <w:sz w:val="18"/>
      <w:szCs w:val="18"/>
    </w:rPr>
  </w:style>
  <w:style w:type="character" w:customStyle="1" w:styleId="Char">
    <w:name w:val="批注框文本 Char"/>
    <w:basedOn w:val="a0"/>
    <w:link w:val="a5"/>
    <w:uiPriority w:val="99"/>
    <w:semiHidden/>
    <w:locked/>
    <w:rsid w:val="008E4411"/>
    <w:rPr>
      <w:rFonts w:cs="Times New Roman"/>
      <w:sz w:val="18"/>
      <w:szCs w:val="18"/>
    </w:rPr>
  </w:style>
  <w:style w:type="paragraph" w:styleId="a6">
    <w:name w:val="header"/>
    <w:basedOn w:val="a"/>
    <w:link w:val="Char0"/>
    <w:uiPriority w:val="99"/>
    <w:rsid w:val="008C25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locked/>
    <w:rsid w:val="008C254F"/>
    <w:rPr>
      <w:rFonts w:cs="Times New Roman"/>
      <w:sz w:val="18"/>
      <w:szCs w:val="18"/>
    </w:rPr>
  </w:style>
  <w:style w:type="paragraph" w:styleId="a7">
    <w:name w:val="footer"/>
    <w:basedOn w:val="a"/>
    <w:link w:val="Char1"/>
    <w:uiPriority w:val="99"/>
    <w:rsid w:val="008C254F"/>
    <w:pPr>
      <w:tabs>
        <w:tab w:val="center" w:pos="4153"/>
        <w:tab w:val="right" w:pos="8306"/>
      </w:tabs>
      <w:snapToGrid w:val="0"/>
      <w:jc w:val="left"/>
    </w:pPr>
    <w:rPr>
      <w:sz w:val="18"/>
      <w:szCs w:val="18"/>
    </w:rPr>
  </w:style>
  <w:style w:type="character" w:customStyle="1" w:styleId="Char1">
    <w:name w:val="页脚 Char"/>
    <w:basedOn w:val="a0"/>
    <w:link w:val="a7"/>
    <w:uiPriority w:val="99"/>
    <w:locked/>
    <w:rsid w:val="008C254F"/>
    <w:rPr>
      <w:rFonts w:cs="Times New Roman"/>
      <w:sz w:val="18"/>
      <w:szCs w:val="18"/>
    </w:rPr>
  </w:style>
  <w:style w:type="paragraph" w:styleId="a8">
    <w:name w:val="Normal (Web)"/>
    <w:basedOn w:val="a"/>
    <w:uiPriority w:val="99"/>
    <w:rsid w:val="008D2B49"/>
    <w:pPr>
      <w:widowControl/>
      <w:spacing w:before="100" w:beforeAutospacing="1" w:after="100" w:afterAutospacing="1"/>
      <w:jc w:val="left"/>
    </w:pPr>
    <w:rPr>
      <w:rFonts w:ascii="宋体" w:hAnsi="宋体" w:cs="宋体"/>
      <w:kern w:val="0"/>
      <w:szCs w:val="24"/>
    </w:rPr>
  </w:style>
  <w:style w:type="character" w:styleId="a9">
    <w:name w:val="Hyperlink"/>
    <w:basedOn w:val="a0"/>
    <w:uiPriority w:val="99"/>
    <w:rsid w:val="005E36BF"/>
    <w:rPr>
      <w:rFonts w:cs="Times New Roman"/>
      <w:color w:val="0000FF"/>
      <w:u w:val="single"/>
    </w:rPr>
  </w:style>
  <w:style w:type="character" w:customStyle="1" w:styleId="apple-converted-space">
    <w:name w:val="apple-converted-space"/>
    <w:basedOn w:val="a0"/>
    <w:rsid w:val="005E36BF"/>
    <w:rPr>
      <w:rFonts w:cs="Times New Roman"/>
    </w:rPr>
  </w:style>
  <w:style w:type="paragraph" w:styleId="aa">
    <w:name w:val="No Spacing"/>
    <w:uiPriority w:val="99"/>
    <w:qFormat/>
    <w:rsid w:val="009E1E95"/>
    <w:pPr>
      <w:widowControl w:val="0"/>
      <w:jc w:val="both"/>
    </w:pPr>
    <w:rPr>
      <w:kern w:val="2"/>
      <w:sz w:val="21"/>
      <w:szCs w:val="22"/>
    </w:rPr>
  </w:style>
  <w:style w:type="paragraph" w:styleId="40">
    <w:name w:val="toc 4"/>
    <w:basedOn w:val="a"/>
    <w:next w:val="a"/>
    <w:autoRedefine/>
    <w:uiPriority w:val="39"/>
    <w:locked/>
    <w:rsid w:val="00FC3474"/>
    <w:pPr>
      <w:jc w:val="left"/>
    </w:pPr>
    <w:rPr>
      <w:rFonts w:asciiTheme="minorHAnsi" w:hAnsiTheme="minorHAnsi" w:cstheme="minorHAnsi"/>
      <w:sz w:val="22"/>
    </w:rPr>
  </w:style>
  <w:style w:type="paragraph" w:styleId="TOC">
    <w:name w:val="TOC Heading"/>
    <w:basedOn w:val="1"/>
    <w:next w:val="a"/>
    <w:uiPriority w:val="39"/>
    <w:semiHidden/>
    <w:unhideWhenUsed/>
    <w:qFormat/>
    <w:rsid w:val="00FC347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locked/>
    <w:rsid w:val="00FC3474"/>
    <w:pPr>
      <w:jc w:val="left"/>
    </w:pPr>
    <w:rPr>
      <w:rFonts w:asciiTheme="minorHAnsi" w:hAnsiTheme="minorHAnsi" w:cstheme="minorHAnsi"/>
      <w:b/>
      <w:bCs/>
      <w:smallCaps/>
      <w:sz w:val="22"/>
    </w:rPr>
  </w:style>
  <w:style w:type="paragraph" w:styleId="10">
    <w:name w:val="toc 1"/>
    <w:basedOn w:val="a"/>
    <w:next w:val="a"/>
    <w:autoRedefine/>
    <w:uiPriority w:val="39"/>
    <w:unhideWhenUsed/>
    <w:qFormat/>
    <w:locked/>
    <w:rsid w:val="00FC3474"/>
    <w:pPr>
      <w:spacing w:before="360" w:after="360"/>
      <w:jc w:val="left"/>
    </w:pPr>
    <w:rPr>
      <w:rFonts w:asciiTheme="minorHAnsi" w:hAnsiTheme="minorHAnsi" w:cstheme="minorHAnsi"/>
      <w:b/>
      <w:bCs/>
      <w:caps/>
      <w:sz w:val="22"/>
      <w:u w:val="single"/>
    </w:rPr>
  </w:style>
  <w:style w:type="paragraph" w:styleId="30">
    <w:name w:val="toc 3"/>
    <w:basedOn w:val="a"/>
    <w:next w:val="a"/>
    <w:autoRedefine/>
    <w:uiPriority w:val="39"/>
    <w:unhideWhenUsed/>
    <w:qFormat/>
    <w:locked/>
    <w:rsid w:val="00FC3474"/>
    <w:pPr>
      <w:jc w:val="left"/>
    </w:pPr>
    <w:rPr>
      <w:rFonts w:asciiTheme="minorHAnsi" w:hAnsiTheme="minorHAnsi" w:cstheme="minorHAnsi"/>
      <w:smallCaps/>
      <w:sz w:val="22"/>
    </w:rPr>
  </w:style>
  <w:style w:type="paragraph" w:styleId="5">
    <w:name w:val="toc 5"/>
    <w:basedOn w:val="a"/>
    <w:next w:val="a"/>
    <w:autoRedefine/>
    <w:locked/>
    <w:rsid w:val="00FC3474"/>
    <w:pPr>
      <w:jc w:val="left"/>
    </w:pPr>
    <w:rPr>
      <w:rFonts w:asciiTheme="minorHAnsi" w:hAnsiTheme="minorHAnsi" w:cstheme="minorHAnsi"/>
      <w:sz w:val="22"/>
    </w:rPr>
  </w:style>
  <w:style w:type="paragraph" w:styleId="6">
    <w:name w:val="toc 6"/>
    <w:basedOn w:val="a"/>
    <w:next w:val="a"/>
    <w:autoRedefine/>
    <w:locked/>
    <w:rsid w:val="00FC3474"/>
    <w:pPr>
      <w:jc w:val="left"/>
    </w:pPr>
    <w:rPr>
      <w:rFonts w:asciiTheme="minorHAnsi" w:hAnsiTheme="minorHAnsi" w:cstheme="minorHAnsi"/>
      <w:sz w:val="22"/>
    </w:rPr>
  </w:style>
  <w:style w:type="paragraph" w:styleId="7">
    <w:name w:val="toc 7"/>
    <w:basedOn w:val="a"/>
    <w:next w:val="a"/>
    <w:autoRedefine/>
    <w:locked/>
    <w:rsid w:val="00FC3474"/>
    <w:pPr>
      <w:jc w:val="left"/>
    </w:pPr>
    <w:rPr>
      <w:rFonts w:asciiTheme="minorHAnsi" w:hAnsiTheme="minorHAnsi" w:cstheme="minorHAnsi"/>
      <w:sz w:val="22"/>
    </w:rPr>
  </w:style>
  <w:style w:type="paragraph" w:styleId="8">
    <w:name w:val="toc 8"/>
    <w:basedOn w:val="a"/>
    <w:next w:val="a"/>
    <w:autoRedefine/>
    <w:locked/>
    <w:rsid w:val="00FC3474"/>
    <w:pPr>
      <w:jc w:val="left"/>
    </w:pPr>
    <w:rPr>
      <w:rFonts w:asciiTheme="minorHAnsi" w:hAnsiTheme="minorHAnsi" w:cstheme="minorHAnsi"/>
      <w:sz w:val="22"/>
    </w:rPr>
  </w:style>
  <w:style w:type="paragraph" w:styleId="9">
    <w:name w:val="toc 9"/>
    <w:basedOn w:val="a"/>
    <w:next w:val="a"/>
    <w:autoRedefine/>
    <w:locked/>
    <w:rsid w:val="00FC3474"/>
    <w:pPr>
      <w:jc w:val="left"/>
    </w:pPr>
    <w:rPr>
      <w:rFonts w:asciiTheme="minorHAnsi" w:hAnsiTheme="minorHAnsi" w:cstheme="minorHAnsi"/>
      <w:sz w:val="22"/>
    </w:rPr>
  </w:style>
</w:styles>
</file>

<file path=word/webSettings.xml><?xml version="1.0" encoding="utf-8"?>
<w:webSettings xmlns:r="http://schemas.openxmlformats.org/officeDocument/2006/relationships" xmlns:w="http://schemas.openxmlformats.org/wordprocessingml/2006/main">
  <w:divs>
    <w:div w:id="40910722">
      <w:bodyDiv w:val="1"/>
      <w:marLeft w:val="0"/>
      <w:marRight w:val="0"/>
      <w:marTop w:val="0"/>
      <w:marBottom w:val="0"/>
      <w:divBdr>
        <w:top w:val="none" w:sz="0" w:space="0" w:color="auto"/>
        <w:left w:val="none" w:sz="0" w:space="0" w:color="auto"/>
        <w:bottom w:val="none" w:sz="0" w:space="0" w:color="auto"/>
        <w:right w:val="none" w:sz="0" w:space="0" w:color="auto"/>
      </w:divBdr>
    </w:div>
    <w:div w:id="84687922">
      <w:bodyDiv w:val="1"/>
      <w:marLeft w:val="0"/>
      <w:marRight w:val="0"/>
      <w:marTop w:val="0"/>
      <w:marBottom w:val="0"/>
      <w:divBdr>
        <w:top w:val="none" w:sz="0" w:space="0" w:color="auto"/>
        <w:left w:val="none" w:sz="0" w:space="0" w:color="auto"/>
        <w:bottom w:val="none" w:sz="0" w:space="0" w:color="auto"/>
        <w:right w:val="none" w:sz="0" w:space="0" w:color="auto"/>
      </w:divBdr>
      <w:divsChild>
        <w:div w:id="244538291">
          <w:marLeft w:val="0"/>
          <w:marRight w:val="0"/>
          <w:marTop w:val="0"/>
          <w:marBottom w:val="0"/>
          <w:divBdr>
            <w:top w:val="none" w:sz="0" w:space="0" w:color="auto"/>
            <w:left w:val="none" w:sz="0" w:space="0" w:color="auto"/>
            <w:bottom w:val="none" w:sz="0" w:space="0" w:color="auto"/>
            <w:right w:val="none" w:sz="0" w:space="0" w:color="auto"/>
          </w:divBdr>
        </w:div>
      </w:divsChild>
    </w:div>
    <w:div w:id="89014772">
      <w:bodyDiv w:val="1"/>
      <w:marLeft w:val="0"/>
      <w:marRight w:val="0"/>
      <w:marTop w:val="0"/>
      <w:marBottom w:val="0"/>
      <w:divBdr>
        <w:top w:val="none" w:sz="0" w:space="0" w:color="auto"/>
        <w:left w:val="none" w:sz="0" w:space="0" w:color="auto"/>
        <w:bottom w:val="none" w:sz="0" w:space="0" w:color="auto"/>
        <w:right w:val="none" w:sz="0" w:space="0" w:color="auto"/>
      </w:divBdr>
    </w:div>
    <w:div w:id="102002781">
      <w:bodyDiv w:val="1"/>
      <w:marLeft w:val="0"/>
      <w:marRight w:val="0"/>
      <w:marTop w:val="0"/>
      <w:marBottom w:val="0"/>
      <w:divBdr>
        <w:top w:val="none" w:sz="0" w:space="0" w:color="auto"/>
        <w:left w:val="none" w:sz="0" w:space="0" w:color="auto"/>
        <w:bottom w:val="none" w:sz="0" w:space="0" w:color="auto"/>
        <w:right w:val="none" w:sz="0" w:space="0" w:color="auto"/>
      </w:divBdr>
      <w:divsChild>
        <w:div w:id="747381327">
          <w:marLeft w:val="288"/>
          <w:marRight w:val="0"/>
          <w:marTop w:val="0"/>
          <w:marBottom w:val="0"/>
          <w:divBdr>
            <w:top w:val="none" w:sz="0" w:space="0" w:color="auto"/>
            <w:left w:val="none" w:sz="0" w:space="0" w:color="auto"/>
            <w:bottom w:val="none" w:sz="0" w:space="0" w:color="auto"/>
            <w:right w:val="none" w:sz="0" w:space="0" w:color="auto"/>
          </w:divBdr>
        </w:div>
        <w:div w:id="1239056085">
          <w:marLeft w:val="288"/>
          <w:marRight w:val="0"/>
          <w:marTop w:val="0"/>
          <w:marBottom w:val="0"/>
          <w:divBdr>
            <w:top w:val="none" w:sz="0" w:space="0" w:color="auto"/>
            <w:left w:val="none" w:sz="0" w:space="0" w:color="auto"/>
            <w:bottom w:val="none" w:sz="0" w:space="0" w:color="auto"/>
            <w:right w:val="none" w:sz="0" w:space="0" w:color="auto"/>
          </w:divBdr>
        </w:div>
        <w:div w:id="1684894029">
          <w:marLeft w:val="288"/>
          <w:marRight w:val="0"/>
          <w:marTop w:val="0"/>
          <w:marBottom w:val="0"/>
          <w:divBdr>
            <w:top w:val="none" w:sz="0" w:space="0" w:color="auto"/>
            <w:left w:val="none" w:sz="0" w:space="0" w:color="auto"/>
            <w:bottom w:val="none" w:sz="0" w:space="0" w:color="auto"/>
            <w:right w:val="none" w:sz="0" w:space="0" w:color="auto"/>
          </w:divBdr>
        </w:div>
        <w:div w:id="881022536">
          <w:marLeft w:val="288"/>
          <w:marRight w:val="0"/>
          <w:marTop w:val="0"/>
          <w:marBottom w:val="0"/>
          <w:divBdr>
            <w:top w:val="none" w:sz="0" w:space="0" w:color="auto"/>
            <w:left w:val="none" w:sz="0" w:space="0" w:color="auto"/>
            <w:bottom w:val="none" w:sz="0" w:space="0" w:color="auto"/>
            <w:right w:val="none" w:sz="0" w:space="0" w:color="auto"/>
          </w:divBdr>
        </w:div>
        <w:div w:id="665012276">
          <w:marLeft w:val="288"/>
          <w:marRight w:val="0"/>
          <w:marTop w:val="0"/>
          <w:marBottom w:val="0"/>
          <w:divBdr>
            <w:top w:val="none" w:sz="0" w:space="0" w:color="auto"/>
            <w:left w:val="none" w:sz="0" w:space="0" w:color="auto"/>
            <w:bottom w:val="none" w:sz="0" w:space="0" w:color="auto"/>
            <w:right w:val="none" w:sz="0" w:space="0" w:color="auto"/>
          </w:divBdr>
        </w:div>
        <w:div w:id="566690489">
          <w:marLeft w:val="288"/>
          <w:marRight w:val="0"/>
          <w:marTop w:val="0"/>
          <w:marBottom w:val="0"/>
          <w:divBdr>
            <w:top w:val="none" w:sz="0" w:space="0" w:color="auto"/>
            <w:left w:val="none" w:sz="0" w:space="0" w:color="auto"/>
            <w:bottom w:val="none" w:sz="0" w:space="0" w:color="auto"/>
            <w:right w:val="none" w:sz="0" w:space="0" w:color="auto"/>
          </w:divBdr>
        </w:div>
      </w:divsChild>
    </w:div>
    <w:div w:id="105006162">
      <w:bodyDiv w:val="1"/>
      <w:marLeft w:val="0"/>
      <w:marRight w:val="0"/>
      <w:marTop w:val="0"/>
      <w:marBottom w:val="0"/>
      <w:divBdr>
        <w:top w:val="none" w:sz="0" w:space="0" w:color="auto"/>
        <w:left w:val="none" w:sz="0" w:space="0" w:color="auto"/>
        <w:bottom w:val="none" w:sz="0" w:space="0" w:color="auto"/>
        <w:right w:val="none" w:sz="0" w:space="0" w:color="auto"/>
      </w:divBdr>
    </w:div>
    <w:div w:id="122424484">
      <w:bodyDiv w:val="1"/>
      <w:marLeft w:val="0"/>
      <w:marRight w:val="0"/>
      <w:marTop w:val="0"/>
      <w:marBottom w:val="0"/>
      <w:divBdr>
        <w:top w:val="none" w:sz="0" w:space="0" w:color="auto"/>
        <w:left w:val="none" w:sz="0" w:space="0" w:color="auto"/>
        <w:bottom w:val="none" w:sz="0" w:space="0" w:color="auto"/>
        <w:right w:val="none" w:sz="0" w:space="0" w:color="auto"/>
      </w:divBdr>
    </w:div>
    <w:div w:id="136729387">
      <w:bodyDiv w:val="1"/>
      <w:marLeft w:val="0"/>
      <w:marRight w:val="0"/>
      <w:marTop w:val="0"/>
      <w:marBottom w:val="0"/>
      <w:divBdr>
        <w:top w:val="none" w:sz="0" w:space="0" w:color="auto"/>
        <w:left w:val="none" w:sz="0" w:space="0" w:color="auto"/>
        <w:bottom w:val="none" w:sz="0" w:space="0" w:color="auto"/>
        <w:right w:val="none" w:sz="0" w:space="0" w:color="auto"/>
      </w:divBdr>
      <w:divsChild>
        <w:div w:id="205408381">
          <w:marLeft w:val="288"/>
          <w:marRight w:val="0"/>
          <w:marTop w:val="0"/>
          <w:marBottom w:val="0"/>
          <w:divBdr>
            <w:top w:val="none" w:sz="0" w:space="0" w:color="auto"/>
            <w:left w:val="none" w:sz="0" w:space="0" w:color="auto"/>
            <w:bottom w:val="none" w:sz="0" w:space="0" w:color="auto"/>
            <w:right w:val="none" w:sz="0" w:space="0" w:color="auto"/>
          </w:divBdr>
        </w:div>
      </w:divsChild>
    </w:div>
    <w:div w:id="212812753">
      <w:bodyDiv w:val="1"/>
      <w:marLeft w:val="0"/>
      <w:marRight w:val="0"/>
      <w:marTop w:val="0"/>
      <w:marBottom w:val="0"/>
      <w:divBdr>
        <w:top w:val="none" w:sz="0" w:space="0" w:color="auto"/>
        <w:left w:val="none" w:sz="0" w:space="0" w:color="auto"/>
        <w:bottom w:val="none" w:sz="0" w:space="0" w:color="auto"/>
        <w:right w:val="none" w:sz="0" w:space="0" w:color="auto"/>
      </w:divBdr>
      <w:divsChild>
        <w:div w:id="2134014274">
          <w:marLeft w:val="0"/>
          <w:marRight w:val="0"/>
          <w:marTop w:val="0"/>
          <w:marBottom w:val="0"/>
          <w:divBdr>
            <w:top w:val="none" w:sz="0" w:space="0" w:color="auto"/>
            <w:left w:val="none" w:sz="0" w:space="0" w:color="auto"/>
            <w:bottom w:val="none" w:sz="0" w:space="0" w:color="auto"/>
            <w:right w:val="none" w:sz="0" w:space="0" w:color="auto"/>
          </w:divBdr>
        </w:div>
      </w:divsChild>
    </w:div>
    <w:div w:id="217860266">
      <w:bodyDiv w:val="1"/>
      <w:marLeft w:val="0"/>
      <w:marRight w:val="0"/>
      <w:marTop w:val="0"/>
      <w:marBottom w:val="0"/>
      <w:divBdr>
        <w:top w:val="none" w:sz="0" w:space="0" w:color="auto"/>
        <w:left w:val="none" w:sz="0" w:space="0" w:color="auto"/>
        <w:bottom w:val="none" w:sz="0" w:space="0" w:color="auto"/>
        <w:right w:val="none" w:sz="0" w:space="0" w:color="auto"/>
      </w:divBdr>
    </w:div>
    <w:div w:id="221717561">
      <w:bodyDiv w:val="1"/>
      <w:marLeft w:val="0"/>
      <w:marRight w:val="0"/>
      <w:marTop w:val="0"/>
      <w:marBottom w:val="0"/>
      <w:divBdr>
        <w:top w:val="none" w:sz="0" w:space="0" w:color="auto"/>
        <w:left w:val="none" w:sz="0" w:space="0" w:color="auto"/>
        <w:bottom w:val="none" w:sz="0" w:space="0" w:color="auto"/>
        <w:right w:val="none" w:sz="0" w:space="0" w:color="auto"/>
      </w:divBdr>
    </w:div>
    <w:div w:id="225534810">
      <w:bodyDiv w:val="1"/>
      <w:marLeft w:val="0"/>
      <w:marRight w:val="0"/>
      <w:marTop w:val="0"/>
      <w:marBottom w:val="0"/>
      <w:divBdr>
        <w:top w:val="none" w:sz="0" w:space="0" w:color="auto"/>
        <w:left w:val="none" w:sz="0" w:space="0" w:color="auto"/>
        <w:bottom w:val="none" w:sz="0" w:space="0" w:color="auto"/>
        <w:right w:val="none" w:sz="0" w:space="0" w:color="auto"/>
      </w:divBdr>
    </w:div>
    <w:div w:id="257715559">
      <w:bodyDiv w:val="1"/>
      <w:marLeft w:val="0"/>
      <w:marRight w:val="0"/>
      <w:marTop w:val="0"/>
      <w:marBottom w:val="0"/>
      <w:divBdr>
        <w:top w:val="none" w:sz="0" w:space="0" w:color="auto"/>
        <w:left w:val="none" w:sz="0" w:space="0" w:color="auto"/>
        <w:bottom w:val="none" w:sz="0" w:space="0" w:color="auto"/>
        <w:right w:val="none" w:sz="0" w:space="0" w:color="auto"/>
      </w:divBdr>
    </w:div>
    <w:div w:id="259872006">
      <w:bodyDiv w:val="1"/>
      <w:marLeft w:val="0"/>
      <w:marRight w:val="0"/>
      <w:marTop w:val="0"/>
      <w:marBottom w:val="0"/>
      <w:divBdr>
        <w:top w:val="none" w:sz="0" w:space="0" w:color="auto"/>
        <w:left w:val="none" w:sz="0" w:space="0" w:color="auto"/>
        <w:bottom w:val="none" w:sz="0" w:space="0" w:color="auto"/>
        <w:right w:val="none" w:sz="0" w:space="0" w:color="auto"/>
      </w:divBdr>
      <w:divsChild>
        <w:div w:id="463040787">
          <w:marLeft w:val="0"/>
          <w:marRight w:val="0"/>
          <w:marTop w:val="0"/>
          <w:marBottom w:val="0"/>
          <w:divBdr>
            <w:top w:val="none" w:sz="0" w:space="0" w:color="auto"/>
            <w:left w:val="none" w:sz="0" w:space="0" w:color="auto"/>
            <w:bottom w:val="none" w:sz="0" w:space="0" w:color="auto"/>
            <w:right w:val="none" w:sz="0" w:space="0" w:color="auto"/>
          </w:divBdr>
        </w:div>
      </w:divsChild>
    </w:div>
    <w:div w:id="321398295">
      <w:bodyDiv w:val="1"/>
      <w:marLeft w:val="0"/>
      <w:marRight w:val="0"/>
      <w:marTop w:val="0"/>
      <w:marBottom w:val="0"/>
      <w:divBdr>
        <w:top w:val="none" w:sz="0" w:space="0" w:color="auto"/>
        <w:left w:val="none" w:sz="0" w:space="0" w:color="auto"/>
        <w:bottom w:val="none" w:sz="0" w:space="0" w:color="auto"/>
        <w:right w:val="none" w:sz="0" w:space="0" w:color="auto"/>
      </w:divBdr>
    </w:div>
    <w:div w:id="376853343">
      <w:bodyDiv w:val="1"/>
      <w:marLeft w:val="0"/>
      <w:marRight w:val="0"/>
      <w:marTop w:val="0"/>
      <w:marBottom w:val="0"/>
      <w:divBdr>
        <w:top w:val="none" w:sz="0" w:space="0" w:color="auto"/>
        <w:left w:val="none" w:sz="0" w:space="0" w:color="auto"/>
        <w:bottom w:val="none" w:sz="0" w:space="0" w:color="auto"/>
        <w:right w:val="none" w:sz="0" w:space="0" w:color="auto"/>
      </w:divBdr>
      <w:divsChild>
        <w:div w:id="1350331393">
          <w:marLeft w:val="0"/>
          <w:marRight w:val="0"/>
          <w:marTop w:val="0"/>
          <w:marBottom w:val="0"/>
          <w:divBdr>
            <w:top w:val="none" w:sz="0" w:space="0" w:color="auto"/>
            <w:left w:val="none" w:sz="0" w:space="0" w:color="auto"/>
            <w:bottom w:val="none" w:sz="0" w:space="0" w:color="auto"/>
            <w:right w:val="none" w:sz="0" w:space="0" w:color="auto"/>
          </w:divBdr>
        </w:div>
      </w:divsChild>
    </w:div>
    <w:div w:id="432095432">
      <w:bodyDiv w:val="1"/>
      <w:marLeft w:val="0"/>
      <w:marRight w:val="0"/>
      <w:marTop w:val="0"/>
      <w:marBottom w:val="0"/>
      <w:divBdr>
        <w:top w:val="none" w:sz="0" w:space="0" w:color="auto"/>
        <w:left w:val="none" w:sz="0" w:space="0" w:color="auto"/>
        <w:bottom w:val="none" w:sz="0" w:space="0" w:color="auto"/>
        <w:right w:val="none" w:sz="0" w:space="0" w:color="auto"/>
      </w:divBdr>
    </w:div>
    <w:div w:id="446969121">
      <w:bodyDiv w:val="1"/>
      <w:marLeft w:val="0"/>
      <w:marRight w:val="0"/>
      <w:marTop w:val="0"/>
      <w:marBottom w:val="0"/>
      <w:divBdr>
        <w:top w:val="none" w:sz="0" w:space="0" w:color="auto"/>
        <w:left w:val="none" w:sz="0" w:space="0" w:color="auto"/>
        <w:bottom w:val="none" w:sz="0" w:space="0" w:color="auto"/>
        <w:right w:val="none" w:sz="0" w:space="0" w:color="auto"/>
      </w:divBdr>
    </w:div>
    <w:div w:id="494538250">
      <w:bodyDiv w:val="1"/>
      <w:marLeft w:val="0"/>
      <w:marRight w:val="0"/>
      <w:marTop w:val="0"/>
      <w:marBottom w:val="0"/>
      <w:divBdr>
        <w:top w:val="none" w:sz="0" w:space="0" w:color="auto"/>
        <w:left w:val="none" w:sz="0" w:space="0" w:color="auto"/>
        <w:bottom w:val="none" w:sz="0" w:space="0" w:color="auto"/>
        <w:right w:val="none" w:sz="0" w:space="0" w:color="auto"/>
      </w:divBdr>
    </w:div>
    <w:div w:id="520706266">
      <w:bodyDiv w:val="1"/>
      <w:marLeft w:val="0"/>
      <w:marRight w:val="0"/>
      <w:marTop w:val="0"/>
      <w:marBottom w:val="0"/>
      <w:divBdr>
        <w:top w:val="none" w:sz="0" w:space="0" w:color="auto"/>
        <w:left w:val="none" w:sz="0" w:space="0" w:color="auto"/>
        <w:bottom w:val="none" w:sz="0" w:space="0" w:color="auto"/>
        <w:right w:val="none" w:sz="0" w:space="0" w:color="auto"/>
      </w:divBdr>
    </w:div>
    <w:div w:id="610162430">
      <w:bodyDiv w:val="1"/>
      <w:marLeft w:val="0"/>
      <w:marRight w:val="0"/>
      <w:marTop w:val="0"/>
      <w:marBottom w:val="0"/>
      <w:divBdr>
        <w:top w:val="none" w:sz="0" w:space="0" w:color="auto"/>
        <w:left w:val="none" w:sz="0" w:space="0" w:color="auto"/>
        <w:bottom w:val="none" w:sz="0" w:space="0" w:color="auto"/>
        <w:right w:val="none" w:sz="0" w:space="0" w:color="auto"/>
      </w:divBdr>
      <w:divsChild>
        <w:div w:id="856383600">
          <w:marLeft w:val="446"/>
          <w:marRight w:val="0"/>
          <w:marTop w:val="0"/>
          <w:marBottom w:val="0"/>
          <w:divBdr>
            <w:top w:val="none" w:sz="0" w:space="0" w:color="auto"/>
            <w:left w:val="none" w:sz="0" w:space="0" w:color="auto"/>
            <w:bottom w:val="none" w:sz="0" w:space="0" w:color="auto"/>
            <w:right w:val="none" w:sz="0" w:space="0" w:color="auto"/>
          </w:divBdr>
        </w:div>
        <w:div w:id="1326126389">
          <w:marLeft w:val="446"/>
          <w:marRight w:val="0"/>
          <w:marTop w:val="0"/>
          <w:marBottom w:val="0"/>
          <w:divBdr>
            <w:top w:val="none" w:sz="0" w:space="0" w:color="auto"/>
            <w:left w:val="none" w:sz="0" w:space="0" w:color="auto"/>
            <w:bottom w:val="none" w:sz="0" w:space="0" w:color="auto"/>
            <w:right w:val="none" w:sz="0" w:space="0" w:color="auto"/>
          </w:divBdr>
        </w:div>
        <w:div w:id="818307447">
          <w:marLeft w:val="446"/>
          <w:marRight w:val="0"/>
          <w:marTop w:val="0"/>
          <w:marBottom w:val="0"/>
          <w:divBdr>
            <w:top w:val="none" w:sz="0" w:space="0" w:color="auto"/>
            <w:left w:val="none" w:sz="0" w:space="0" w:color="auto"/>
            <w:bottom w:val="none" w:sz="0" w:space="0" w:color="auto"/>
            <w:right w:val="none" w:sz="0" w:space="0" w:color="auto"/>
          </w:divBdr>
        </w:div>
      </w:divsChild>
    </w:div>
    <w:div w:id="634067135">
      <w:bodyDiv w:val="1"/>
      <w:marLeft w:val="0"/>
      <w:marRight w:val="0"/>
      <w:marTop w:val="0"/>
      <w:marBottom w:val="0"/>
      <w:divBdr>
        <w:top w:val="none" w:sz="0" w:space="0" w:color="auto"/>
        <w:left w:val="none" w:sz="0" w:space="0" w:color="auto"/>
        <w:bottom w:val="none" w:sz="0" w:space="0" w:color="auto"/>
        <w:right w:val="none" w:sz="0" w:space="0" w:color="auto"/>
      </w:divBdr>
    </w:div>
    <w:div w:id="648246810">
      <w:bodyDiv w:val="1"/>
      <w:marLeft w:val="0"/>
      <w:marRight w:val="0"/>
      <w:marTop w:val="0"/>
      <w:marBottom w:val="0"/>
      <w:divBdr>
        <w:top w:val="none" w:sz="0" w:space="0" w:color="auto"/>
        <w:left w:val="none" w:sz="0" w:space="0" w:color="auto"/>
        <w:bottom w:val="none" w:sz="0" w:space="0" w:color="auto"/>
        <w:right w:val="none" w:sz="0" w:space="0" w:color="auto"/>
      </w:divBdr>
      <w:divsChild>
        <w:div w:id="1074546624">
          <w:marLeft w:val="0"/>
          <w:marRight w:val="0"/>
          <w:marTop w:val="0"/>
          <w:marBottom w:val="0"/>
          <w:divBdr>
            <w:top w:val="none" w:sz="0" w:space="0" w:color="auto"/>
            <w:left w:val="none" w:sz="0" w:space="0" w:color="auto"/>
            <w:bottom w:val="none" w:sz="0" w:space="0" w:color="auto"/>
            <w:right w:val="none" w:sz="0" w:space="0" w:color="auto"/>
          </w:divBdr>
        </w:div>
      </w:divsChild>
    </w:div>
    <w:div w:id="672538246">
      <w:bodyDiv w:val="1"/>
      <w:marLeft w:val="0"/>
      <w:marRight w:val="0"/>
      <w:marTop w:val="0"/>
      <w:marBottom w:val="0"/>
      <w:divBdr>
        <w:top w:val="none" w:sz="0" w:space="0" w:color="auto"/>
        <w:left w:val="none" w:sz="0" w:space="0" w:color="auto"/>
        <w:bottom w:val="none" w:sz="0" w:space="0" w:color="auto"/>
        <w:right w:val="none" w:sz="0" w:space="0" w:color="auto"/>
      </w:divBdr>
      <w:divsChild>
        <w:div w:id="244993253">
          <w:marLeft w:val="288"/>
          <w:marRight w:val="0"/>
          <w:marTop w:val="0"/>
          <w:marBottom w:val="0"/>
          <w:divBdr>
            <w:top w:val="none" w:sz="0" w:space="0" w:color="auto"/>
            <w:left w:val="none" w:sz="0" w:space="0" w:color="auto"/>
            <w:bottom w:val="none" w:sz="0" w:space="0" w:color="auto"/>
            <w:right w:val="none" w:sz="0" w:space="0" w:color="auto"/>
          </w:divBdr>
        </w:div>
        <w:div w:id="48698657">
          <w:marLeft w:val="288"/>
          <w:marRight w:val="0"/>
          <w:marTop w:val="0"/>
          <w:marBottom w:val="0"/>
          <w:divBdr>
            <w:top w:val="none" w:sz="0" w:space="0" w:color="auto"/>
            <w:left w:val="none" w:sz="0" w:space="0" w:color="auto"/>
            <w:bottom w:val="none" w:sz="0" w:space="0" w:color="auto"/>
            <w:right w:val="none" w:sz="0" w:space="0" w:color="auto"/>
          </w:divBdr>
        </w:div>
        <w:div w:id="860246344">
          <w:marLeft w:val="288"/>
          <w:marRight w:val="0"/>
          <w:marTop w:val="0"/>
          <w:marBottom w:val="0"/>
          <w:divBdr>
            <w:top w:val="none" w:sz="0" w:space="0" w:color="auto"/>
            <w:left w:val="none" w:sz="0" w:space="0" w:color="auto"/>
            <w:bottom w:val="none" w:sz="0" w:space="0" w:color="auto"/>
            <w:right w:val="none" w:sz="0" w:space="0" w:color="auto"/>
          </w:divBdr>
        </w:div>
        <w:div w:id="1381396309">
          <w:marLeft w:val="288"/>
          <w:marRight w:val="0"/>
          <w:marTop w:val="0"/>
          <w:marBottom w:val="0"/>
          <w:divBdr>
            <w:top w:val="none" w:sz="0" w:space="0" w:color="auto"/>
            <w:left w:val="none" w:sz="0" w:space="0" w:color="auto"/>
            <w:bottom w:val="none" w:sz="0" w:space="0" w:color="auto"/>
            <w:right w:val="none" w:sz="0" w:space="0" w:color="auto"/>
          </w:divBdr>
        </w:div>
        <w:div w:id="815875038">
          <w:marLeft w:val="288"/>
          <w:marRight w:val="0"/>
          <w:marTop w:val="0"/>
          <w:marBottom w:val="0"/>
          <w:divBdr>
            <w:top w:val="none" w:sz="0" w:space="0" w:color="auto"/>
            <w:left w:val="none" w:sz="0" w:space="0" w:color="auto"/>
            <w:bottom w:val="none" w:sz="0" w:space="0" w:color="auto"/>
            <w:right w:val="none" w:sz="0" w:space="0" w:color="auto"/>
          </w:divBdr>
        </w:div>
        <w:div w:id="1105228812">
          <w:marLeft w:val="288"/>
          <w:marRight w:val="0"/>
          <w:marTop w:val="0"/>
          <w:marBottom w:val="0"/>
          <w:divBdr>
            <w:top w:val="none" w:sz="0" w:space="0" w:color="auto"/>
            <w:left w:val="none" w:sz="0" w:space="0" w:color="auto"/>
            <w:bottom w:val="none" w:sz="0" w:space="0" w:color="auto"/>
            <w:right w:val="none" w:sz="0" w:space="0" w:color="auto"/>
          </w:divBdr>
        </w:div>
      </w:divsChild>
    </w:div>
    <w:div w:id="781386325">
      <w:bodyDiv w:val="1"/>
      <w:marLeft w:val="0"/>
      <w:marRight w:val="0"/>
      <w:marTop w:val="0"/>
      <w:marBottom w:val="0"/>
      <w:divBdr>
        <w:top w:val="none" w:sz="0" w:space="0" w:color="auto"/>
        <w:left w:val="none" w:sz="0" w:space="0" w:color="auto"/>
        <w:bottom w:val="none" w:sz="0" w:space="0" w:color="auto"/>
        <w:right w:val="none" w:sz="0" w:space="0" w:color="auto"/>
      </w:divBdr>
      <w:divsChild>
        <w:div w:id="1253397791">
          <w:marLeft w:val="0"/>
          <w:marRight w:val="0"/>
          <w:marTop w:val="0"/>
          <w:marBottom w:val="0"/>
          <w:divBdr>
            <w:top w:val="none" w:sz="0" w:space="0" w:color="auto"/>
            <w:left w:val="none" w:sz="0" w:space="0" w:color="auto"/>
            <w:bottom w:val="none" w:sz="0" w:space="0" w:color="auto"/>
            <w:right w:val="none" w:sz="0" w:space="0" w:color="auto"/>
          </w:divBdr>
        </w:div>
      </w:divsChild>
    </w:div>
    <w:div w:id="830295624">
      <w:bodyDiv w:val="1"/>
      <w:marLeft w:val="0"/>
      <w:marRight w:val="0"/>
      <w:marTop w:val="0"/>
      <w:marBottom w:val="0"/>
      <w:divBdr>
        <w:top w:val="none" w:sz="0" w:space="0" w:color="auto"/>
        <w:left w:val="none" w:sz="0" w:space="0" w:color="auto"/>
        <w:bottom w:val="none" w:sz="0" w:space="0" w:color="auto"/>
        <w:right w:val="none" w:sz="0" w:space="0" w:color="auto"/>
      </w:divBdr>
      <w:divsChild>
        <w:div w:id="4938064">
          <w:marLeft w:val="288"/>
          <w:marRight w:val="0"/>
          <w:marTop w:val="0"/>
          <w:marBottom w:val="0"/>
          <w:divBdr>
            <w:top w:val="none" w:sz="0" w:space="0" w:color="auto"/>
            <w:left w:val="none" w:sz="0" w:space="0" w:color="auto"/>
            <w:bottom w:val="none" w:sz="0" w:space="0" w:color="auto"/>
            <w:right w:val="none" w:sz="0" w:space="0" w:color="auto"/>
          </w:divBdr>
        </w:div>
        <w:div w:id="1970432564">
          <w:marLeft w:val="288"/>
          <w:marRight w:val="0"/>
          <w:marTop w:val="0"/>
          <w:marBottom w:val="0"/>
          <w:divBdr>
            <w:top w:val="none" w:sz="0" w:space="0" w:color="auto"/>
            <w:left w:val="none" w:sz="0" w:space="0" w:color="auto"/>
            <w:bottom w:val="none" w:sz="0" w:space="0" w:color="auto"/>
            <w:right w:val="none" w:sz="0" w:space="0" w:color="auto"/>
          </w:divBdr>
        </w:div>
        <w:div w:id="1868248437">
          <w:marLeft w:val="288"/>
          <w:marRight w:val="0"/>
          <w:marTop w:val="0"/>
          <w:marBottom w:val="0"/>
          <w:divBdr>
            <w:top w:val="none" w:sz="0" w:space="0" w:color="auto"/>
            <w:left w:val="none" w:sz="0" w:space="0" w:color="auto"/>
            <w:bottom w:val="none" w:sz="0" w:space="0" w:color="auto"/>
            <w:right w:val="none" w:sz="0" w:space="0" w:color="auto"/>
          </w:divBdr>
        </w:div>
        <w:div w:id="1872573084">
          <w:marLeft w:val="288"/>
          <w:marRight w:val="0"/>
          <w:marTop w:val="0"/>
          <w:marBottom w:val="0"/>
          <w:divBdr>
            <w:top w:val="none" w:sz="0" w:space="0" w:color="auto"/>
            <w:left w:val="none" w:sz="0" w:space="0" w:color="auto"/>
            <w:bottom w:val="none" w:sz="0" w:space="0" w:color="auto"/>
            <w:right w:val="none" w:sz="0" w:space="0" w:color="auto"/>
          </w:divBdr>
        </w:div>
        <w:div w:id="344672766">
          <w:marLeft w:val="288"/>
          <w:marRight w:val="0"/>
          <w:marTop w:val="0"/>
          <w:marBottom w:val="0"/>
          <w:divBdr>
            <w:top w:val="none" w:sz="0" w:space="0" w:color="auto"/>
            <w:left w:val="none" w:sz="0" w:space="0" w:color="auto"/>
            <w:bottom w:val="none" w:sz="0" w:space="0" w:color="auto"/>
            <w:right w:val="none" w:sz="0" w:space="0" w:color="auto"/>
          </w:divBdr>
        </w:div>
      </w:divsChild>
    </w:div>
    <w:div w:id="856113426">
      <w:bodyDiv w:val="1"/>
      <w:marLeft w:val="0"/>
      <w:marRight w:val="0"/>
      <w:marTop w:val="0"/>
      <w:marBottom w:val="0"/>
      <w:divBdr>
        <w:top w:val="none" w:sz="0" w:space="0" w:color="auto"/>
        <w:left w:val="none" w:sz="0" w:space="0" w:color="auto"/>
        <w:bottom w:val="none" w:sz="0" w:space="0" w:color="auto"/>
        <w:right w:val="none" w:sz="0" w:space="0" w:color="auto"/>
      </w:divBdr>
      <w:divsChild>
        <w:div w:id="697001258">
          <w:marLeft w:val="0"/>
          <w:marRight w:val="0"/>
          <w:marTop w:val="0"/>
          <w:marBottom w:val="0"/>
          <w:divBdr>
            <w:top w:val="none" w:sz="0" w:space="0" w:color="auto"/>
            <w:left w:val="none" w:sz="0" w:space="0" w:color="auto"/>
            <w:bottom w:val="none" w:sz="0" w:space="0" w:color="auto"/>
            <w:right w:val="none" w:sz="0" w:space="0" w:color="auto"/>
          </w:divBdr>
        </w:div>
      </w:divsChild>
    </w:div>
    <w:div w:id="873422172">
      <w:bodyDiv w:val="1"/>
      <w:marLeft w:val="0"/>
      <w:marRight w:val="0"/>
      <w:marTop w:val="0"/>
      <w:marBottom w:val="0"/>
      <w:divBdr>
        <w:top w:val="none" w:sz="0" w:space="0" w:color="auto"/>
        <w:left w:val="none" w:sz="0" w:space="0" w:color="auto"/>
        <w:bottom w:val="none" w:sz="0" w:space="0" w:color="auto"/>
        <w:right w:val="none" w:sz="0" w:space="0" w:color="auto"/>
      </w:divBdr>
    </w:div>
    <w:div w:id="919025352">
      <w:marLeft w:val="0"/>
      <w:marRight w:val="0"/>
      <w:marTop w:val="0"/>
      <w:marBottom w:val="0"/>
      <w:divBdr>
        <w:top w:val="none" w:sz="0" w:space="0" w:color="auto"/>
        <w:left w:val="none" w:sz="0" w:space="0" w:color="auto"/>
        <w:bottom w:val="none" w:sz="0" w:space="0" w:color="auto"/>
        <w:right w:val="none" w:sz="0" w:space="0" w:color="auto"/>
      </w:divBdr>
    </w:div>
    <w:div w:id="919025353">
      <w:marLeft w:val="0"/>
      <w:marRight w:val="0"/>
      <w:marTop w:val="0"/>
      <w:marBottom w:val="0"/>
      <w:divBdr>
        <w:top w:val="none" w:sz="0" w:space="0" w:color="auto"/>
        <w:left w:val="none" w:sz="0" w:space="0" w:color="auto"/>
        <w:bottom w:val="none" w:sz="0" w:space="0" w:color="auto"/>
        <w:right w:val="none" w:sz="0" w:space="0" w:color="auto"/>
      </w:divBdr>
    </w:div>
    <w:div w:id="919025354">
      <w:marLeft w:val="0"/>
      <w:marRight w:val="0"/>
      <w:marTop w:val="0"/>
      <w:marBottom w:val="0"/>
      <w:divBdr>
        <w:top w:val="none" w:sz="0" w:space="0" w:color="auto"/>
        <w:left w:val="none" w:sz="0" w:space="0" w:color="auto"/>
        <w:bottom w:val="none" w:sz="0" w:space="0" w:color="auto"/>
        <w:right w:val="none" w:sz="0" w:space="0" w:color="auto"/>
      </w:divBdr>
    </w:div>
    <w:div w:id="919025355">
      <w:marLeft w:val="0"/>
      <w:marRight w:val="0"/>
      <w:marTop w:val="0"/>
      <w:marBottom w:val="0"/>
      <w:divBdr>
        <w:top w:val="none" w:sz="0" w:space="0" w:color="auto"/>
        <w:left w:val="none" w:sz="0" w:space="0" w:color="auto"/>
        <w:bottom w:val="none" w:sz="0" w:space="0" w:color="auto"/>
        <w:right w:val="none" w:sz="0" w:space="0" w:color="auto"/>
      </w:divBdr>
    </w:div>
    <w:div w:id="919025356">
      <w:marLeft w:val="0"/>
      <w:marRight w:val="0"/>
      <w:marTop w:val="0"/>
      <w:marBottom w:val="0"/>
      <w:divBdr>
        <w:top w:val="none" w:sz="0" w:space="0" w:color="auto"/>
        <w:left w:val="none" w:sz="0" w:space="0" w:color="auto"/>
        <w:bottom w:val="none" w:sz="0" w:space="0" w:color="auto"/>
        <w:right w:val="none" w:sz="0" w:space="0" w:color="auto"/>
      </w:divBdr>
    </w:div>
    <w:div w:id="919025357">
      <w:marLeft w:val="0"/>
      <w:marRight w:val="0"/>
      <w:marTop w:val="0"/>
      <w:marBottom w:val="0"/>
      <w:divBdr>
        <w:top w:val="none" w:sz="0" w:space="0" w:color="auto"/>
        <w:left w:val="none" w:sz="0" w:space="0" w:color="auto"/>
        <w:bottom w:val="none" w:sz="0" w:space="0" w:color="auto"/>
        <w:right w:val="none" w:sz="0" w:space="0" w:color="auto"/>
      </w:divBdr>
    </w:div>
    <w:div w:id="919025358">
      <w:marLeft w:val="0"/>
      <w:marRight w:val="0"/>
      <w:marTop w:val="0"/>
      <w:marBottom w:val="0"/>
      <w:divBdr>
        <w:top w:val="none" w:sz="0" w:space="0" w:color="auto"/>
        <w:left w:val="none" w:sz="0" w:space="0" w:color="auto"/>
        <w:bottom w:val="none" w:sz="0" w:space="0" w:color="auto"/>
        <w:right w:val="none" w:sz="0" w:space="0" w:color="auto"/>
      </w:divBdr>
      <w:divsChild>
        <w:div w:id="919025363">
          <w:marLeft w:val="0"/>
          <w:marRight w:val="0"/>
          <w:marTop w:val="300"/>
          <w:marBottom w:val="0"/>
          <w:divBdr>
            <w:top w:val="none" w:sz="0" w:space="0" w:color="auto"/>
            <w:left w:val="none" w:sz="0" w:space="0" w:color="auto"/>
            <w:bottom w:val="none" w:sz="0" w:space="0" w:color="auto"/>
            <w:right w:val="none" w:sz="0" w:space="0" w:color="auto"/>
          </w:divBdr>
        </w:div>
        <w:div w:id="919025371">
          <w:marLeft w:val="0"/>
          <w:marRight w:val="0"/>
          <w:marTop w:val="0"/>
          <w:marBottom w:val="0"/>
          <w:divBdr>
            <w:top w:val="none" w:sz="0" w:space="0" w:color="auto"/>
            <w:left w:val="none" w:sz="0" w:space="0" w:color="auto"/>
            <w:bottom w:val="none" w:sz="0" w:space="0" w:color="auto"/>
            <w:right w:val="none" w:sz="0" w:space="0" w:color="auto"/>
          </w:divBdr>
        </w:div>
      </w:divsChild>
    </w:div>
    <w:div w:id="919025359">
      <w:marLeft w:val="0"/>
      <w:marRight w:val="0"/>
      <w:marTop w:val="0"/>
      <w:marBottom w:val="0"/>
      <w:divBdr>
        <w:top w:val="none" w:sz="0" w:space="0" w:color="auto"/>
        <w:left w:val="none" w:sz="0" w:space="0" w:color="auto"/>
        <w:bottom w:val="none" w:sz="0" w:space="0" w:color="auto"/>
        <w:right w:val="none" w:sz="0" w:space="0" w:color="auto"/>
      </w:divBdr>
    </w:div>
    <w:div w:id="919025360">
      <w:marLeft w:val="0"/>
      <w:marRight w:val="0"/>
      <w:marTop w:val="0"/>
      <w:marBottom w:val="0"/>
      <w:divBdr>
        <w:top w:val="none" w:sz="0" w:space="0" w:color="auto"/>
        <w:left w:val="none" w:sz="0" w:space="0" w:color="auto"/>
        <w:bottom w:val="none" w:sz="0" w:space="0" w:color="auto"/>
        <w:right w:val="none" w:sz="0" w:space="0" w:color="auto"/>
      </w:divBdr>
      <w:divsChild>
        <w:div w:id="919025364">
          <w:marLeft w:val="0"/>
          <w:marRight w:val="0"/>
          <w:marTop w:val="0"/>
          <w:marBottom w:val="0"/>
          <w:divBdr>
            <w:top w:val="none" w:sz="0" w:space="0" w:color="auto"/>
            <w:left w:val="none" w:sz="0" w:space="0" w:color="auto"/>
            <w:bottom w:val="none" w:sz="0" w:space="0" w:color="auto"/>
            <w:right w:val="none" w:sz="0" w:space="0" w:color="auto"/>
          </w:divBdr>
        </w:div>
        <w:div w:id="919025367">
          <w:marLeft w:val="0"/>
          <w:marRight w:val="0"/>
          <w:marTop w:val="0"/>
          <w:marBottom w:val="0"/>
          <w:divBdr>
            <w:top w:val="none" w:sz="0" w:space="0" w:color="auto"/>
            <w:left w:val="none" w:sz="0" w:space="0" w:color="auto"/>
            <w:bottom w:val="none" w:sz="0" w:space="0" w:color="auto"/>
            <w:right w:val="none" w:sz="0" w:space="0" w:color="auto"/>
          </w:divBdr>
        </w:div>
      </w:divsChild>
    </w:div>
    <w:div w:id="919025361">
      <w:marLeft w:val="0"/>
      <w:marRight w:val="0"/>
      <w:marTop w:val="0"/>
      <w:marBottom w:val="0"/>
      <w:divBdr>
        <w:top w:val="none" w:sz="0" w:space="0" w:color="auto"/>
        <w:left w:val="none" w:sz="0" w:space="0" w:color="auto"/>
        <w:bottom w:val="none" w:sz="0" w:space="0" w:color="auto"/>
        <w:right w:val="none" w:sz="0" w:space="0" w:color="auto"/>
      </w:divBdr>
    </w:div>
    <w:div w:id="919025365">
      <w:marLeft w:val="0"/>
      <w:marRight w:val="0"/>
      <w:marTop w:val="0"/>
      <w:marBottom w:val="0"/>
      <w:divBdr>
        <w:top w:val="none" w:sz="0" w:space="0" w:color="auto"/>
        <w:left w:val="none" w:sz="0" w:space="0" w:color="auto"/>
        <w:bottom w:val="none" w:sz="0" w:space="0" w:color="auto"/>
        <w:right w:val="none" w:sz="0" w:space="0" w:color="auto"/>
      </w:divBdr>
      <w:divsChild>
        <w:div w:id="919025362">
          <w:marLeft w:val="0"/>
          <w:marRight w:val="0"/>
          <w:marTop w:val="0"/>
          <w:marBottom w:val="0"/>
          <w:divBdr>
            <w:top w:val="none" w:sz="0" w:space="0" w:color="auto"/>
            <w:left w:val="none" w:sz="0" w:space="0" w:color="auto"/>
            <w:bottom w:val="none" w:sz="0" w:space="0" w:color="auto"/>
            <w:right w:val="none" w:sz="0" w:space="0" w:color="auto"/>
          </w:divBdr>
        </w:div>
      </w:divsChild>
    </w:div>
    <w:div w:id="919025366">
      <w:marLeft w:val="0"/>
      <w:marRight w:val="0"/>
      <w:marTop w:val="0"/>
      <w:marBottom w:val="0"/>
      <w:divBdr>
        <w:top w:val="none" w:sz="0" w:space="0" w:color="auto"/>
        <w:left w:val="none" w:sz="0" w:space="0" w:color="auto"/>
        <w:bottom w:val="none" w:sz="0" w:space="0" w:color="auto"/>
        <w:right w:val="none" w:sz="0" w:space="0" w:color="auto"/>
      </w:divBdr>
    </w:div>
    <w:div w:id="919025368">
      <w:marLeft w:val="0"/>
      <w:marRight w:val="0"/>
      <w:marTop w:val="0"/>
      <w:marBottom w:val="0"/>
      <w:divBdr>
        <w:top w:val="none" w:sz="0" w:space="0" w:color="auto"/>
        <w:left w:val="none" w:sz="0" w:space="0" w:color="auto"/>
        <w:bottom w:val="none" w:sz="0" w:space="0" w:color="auto"/>
        <w:right w:val="none" w:sz="0" w:space="0" w:color="auto"/>
      </w:divBdr>
    </w:div>
    <w:div w:id="919025369">
      <w:marLeft w:val="0"/>
      <w:marRight w:val="0"/>
      <w:marTop w:val="0"/>
      <w:marBottom w:val="0"/>
      <w:divBdr>
        <w:top w:val="none" w:sz="0" w:space="0" w:color="auto"/>
        <w:left w:val="none" w:sz="0" w:space="0" w:color="auto"/>
        <w:bottom w:val="none" w:sz="0" w:space="0" w:color="auto"/>
        <w:right w:val="none" w:sz="0" w:space="0" w:color="auto"/>
      </w:divBdr>
    </w:div>
    <w:div w:id="919025370">
      <w:marLeft w:val="0"/>
      <w:marRight w:val="0"/>
      <w:marTop w:val="0"/>
      <w:marBottom w:val="0"/>
      <w:divBdr>
        <w:top w:val="none" w:sz="0" w:space="0" w:color="auto"/>
        <w:left w:val="none" w:sz="0" w:space="0" w:color="auto"/>
        <w:bottom w:val="none" w:sz="0" w:space="0" w:color="auto"/>
        <w:right w:val="none" w:sz="0" w:space="0" w:color="auto"/>
      </w:divBdr>
    </w:div>
    <w:div w:id="919025372">
      <w:marLeft w:val="0"/>
      <w:marRight w:val="0"/>
      <w:marTop w:val="0"/>
      <w:marBottom w:val="0"/>
      <w:divBdr>
        <w:top w:val="none" w:sz="0" w:space="0" w:color="auto"/>
        <w:left w:val="none" w:sz="0" w:space="0" w:color="auto"/>
        <w:bottom w:val="none" w:sz="0" w:space="0" w:color="auto"/>
        <w:right w:val="none" w:sz="0" w:space="0" w:color="auto"/>
      </w:divBdr>
    </w:div>
    <w:div w:id="927226746">
      <w:bodyDiv w:val="1"/>
      <w:marLeft w:val="0"/>
      <w:marRight w:val="0"/>
      <w:marTop w:val="0"/>
      <w:marBottom w:val="0"/>
      <w:divBdr>
        <w:top w:val="none" w:sz="0" w:space="0" w:color="auto"/>
        <w:left w:val="none" w:sz="0" w:space="0" w:color="auto"/>
        <w:bottom w:val="none" w:sz="0" w:space="0" w:color="auto"/>
        <w:right w:val="none" w:sz="0" w:space="0" w:color="auto"/>
      </w:divBdr>
      <w:divsChild>
        <w:div w:id="281038611">
          <w:marLeft w:val="0"/>
          <w:marRight w:val="0"/>
          <w:marTop w:val="0"/>
          <w:marBottom w:val="0"/>
          <w:divBdr>
            <w:top w:val="none" w:sz="0" w:space="0" w:color="auto"/>
            <w:left w:val="none" w:sz="0" w:space="0" w:color="auto"/>
            <w:bottom w:val="none" w:sz="0" w:space="0" w:color="auto"/>
            <w:right w:val="none" w:sz="0" w:space="0" w:color="auto"/>
          </w:divBdr>
        </w:div>
      </w:divsChild>
    </w:div>
    <w:div w:id="950210120">
      <w:bodyDiv w:val="1"/>
      <w:marLeft w:val="0"/>
      <w:marRight w:val="0"/>
      <w:marTop w:val="0"/>
      <w:marBottom w:val="0"/>
      <w:divBdr>
        <w:top w:val="none" w:sz="0" w:space="0" w:color="auto"/>
        <w:left w:val="none" w:sz="0" w:space="0" w:color="auto"/>
        <w:bottom w:val="none" w:sz="0" w:space="0" w:color="auto"/>
        <w:right w:val="none" w:sz="0" w:space="0" w:color="auto"/>
      </w:divBdr>
    </w:div>
    <w:div w:id="951205582">
      <w:bodyDiv w:val="1"/>
      <w:marLeft w:val="0"/>
      <w:marRight w:val="0"/>
      <w:marTop w:val="0"/>
      <w:marBottom w:val="0"/>
      <w:divBdr>
        <w:top w:val="none" w:sz="0" w:space="0" w:color="auto"/>
        <w:left w:val="none" w:sz="0" w:space="0" w:color="auto"/>
        <w:bottom w:val="none" w:sz="0" w:space="0" w:color="auto"/>
        <w:right w:val="none" w:sz="0" w:space="0" w:color="auto"/>
      </w:divBdr>
      <w:divsChild>
        <w:div w:id="802163898">
          <w:marLeft w:val="0"/>
          <w:marRight w:val="0"/>
          <w:marTop w:val="0"/>
          <w:marBottom w:val="0"/>
          <w:divBdr>
            <w:top w:val="none" w:sz="0" w:space="0" w:color="auto"/>
            <w:left w:val="none" w:sz="0" w:space="0" w:color="auto"/>
            <w:bottom w:val="none" w:sz="0" w:space="0" w:color="auto"/>
            <w:right w:val="none" w:sz="0" w:space="0" w:color="auto"/>
          </w:divBdr>
        </w:div>
      </w:divsChild>
    </w:div>
    <w:div w:id="952905683">
      <w:bodyDiv w:val="1"/>
      <w:marLeft w:val="0"/>
      <w:marRight w:val="0"/>
      <w:marTop w:val="0"/>
      <w:marBottom w:val="0"/>
      <w:divBdr>
        <w:top w:val="none" w:sz="0" w:space="0" w:color="auto"/>
        <w:left w:val="none" w:sz="0" w:space="0" w:color="auto"/>
        <w:bottom w:val="none" w:sz="0" w:space="0" w:color="auto"/>
        <w:right w:val="none" w:sz="0" w:space="0" w:color="auto"/>
      </w:divBdr>
    </w:div>
    <w:div w:id="961419952">
      <w:bodyDiv w:val="1"/>
      <w:marLeft w:val="0"/>
      <w:marRight w:val="0"/>
      <w:marTop w:val="0"/>
      <w:marBottom w:val="0"/>
      <w:divBdr>
        <w:top w:val="none" w:sz="0" w:space="0" w:color="auto"/>
        <w:left w:val="none" w:sz="0" w:space="0" w:color="auto"/>
        <w:bottom w:val="none" w:sz="0" w:space="0" w:color="auto"/>
        <w:right w:val="none" w:sz="0" w:space="0" w:color="auto"/>
      </w:divBdr>
      <w:divsChild>
        <w:div w:id="1924794236">
          <w:marLeft w:val="288"/>
          <w:marRight w:val="0"/>
          <w:marTop w:val="0"/>
          <w:marBottom w:val="0"/>
          <w:divBdr>
            <w:top w:val="none" w:sz="0" w:space="0" w:color="auto"/>
            <w:left w:val="none" w:sz="0" w:space="0" w:color="auto"/>
            <w:bottom w:val="none" w:sz="0" w:space="0" w:color="auto"/>
            <w:right w:val="none" w:sz="0" w:space="0" w:color="auto"/>
          </w:divBdr>
        </w:div>
      </w:divsChild>
    </w:div>
    <w:div w:id="1014723463">
      <w:bodyDiv w:val="1"/>
      <w:marLeft w:val="0"/>
      <w:marRight w:val="0"/>
      <w:marTop w:val="0"/>
      <w:marBottom w:val="0"/>
      <w:divBdr>
        <w:top w:val="none" w:sz="0" w:space="0" w:color="auto"/>
        <w:left w:val="none" w:sz="0" w:space="0" w:color="auto"/>
        <w:bottom w:val="none" w:sz="0" w:space="0" w:color="auto"/>
        <w:right w:val="none" w:sz="0" w:space="0" w:color="auto"/>
      </w:divBdr>
    </w:div>
    <w:div w:id="1050225584">
      <w:bodyDiv w:val="1"/>
      <w:marLeft w:val="0"/>
      <w:marRight w:val="0"/>
      <w:marTop w:val="0"/>
      <w:marBottom w:val="0"/>
      <w:divBdr>
        <w:top w:val="none" w:sz="0" w:space="0" w:color="auto"/>
        <w:left w:val="none" w:sz="0" w:space="0" w:color="auto"/>
        <w:bottom w:val="none" w:sz="0" w:space="0" w:color="auto"/>
        <w:right w:val="none" w:sz="0" w:space="0" w:color="auto"/>
      </w:divBdr>
    </w:div>
    <w:div w:id="1068653410">
      <w:bodyDiv w:val="1"/>
      <w:marLeft w:val="0"/>
      <w:marRight w:val="0"/>
      <w:marTop w:val="0"/>
      <w:marBottom w:val="0"/>
      <w:divBdr>
        <w:top w:val="none" w:sz="0" w:space="0" w:color="auto"/>
        <w:left w:val="none" w:sz="0" w:space="0" w:color="auto"/>
        <w:bottom w:val="none" w:sz="0" w:space="0" w:color="auto"/>
        <w:right w:val="none" w:sz="0" w:space="0" w:color="auto"/>
      </w:divBdr>
      <w:divsChild>
        <w:div w:id="199438024">
          <w:marLeft w:val="0"/>
          <w:marRight w:val="0"/>
          <w:marTop w:val="0"/>
          <w:marBottom w:val="0"/>
          <w:divBdr>
            <w:top w:val="none" w:sz="0" w:space="0" w:color="auto"/>
            <w:left w:val="none" w:sz="0" w:space="0" w:color="auto"/>
            <w:bottom w:val="none" w:sz="0" w:space="0" w:color="auto"/>
            <w:right w:val="none" w:sz="0" w:space="0" w:color="auto"/>
          </w:divBdr>
        </w:div>
      </w:divsChild>
    </w:div>
    <w:div w:id="1097486393">
      <w:bodyDiv w:val="1"/>
      <w:marLeft w:val="0"/>
      <w:marRight w:val="0"/>
      <w:marTop w:val="0"/>
      <w:marBottom w:val="0"/>
      <w:divBdr>
        <w:top w:val="none" w:sz="0" w:space="0" w:color="auto"/>
        <w:left w:val="none" w:sz="0" w:space="0" w:color="auto"/>
        <w:bottom w:val="none" w:sz="0" w:space="0" w:color="auto"/>
        <w:right w:val="none" w:sz="0" w:space="0" w:color="auto"/>
      </w:divBdr>
    </w:div>
    <w:div w:id="1110080924">
      <w:bodyDiv w:val="1"/>
      <w:marLeft w:val="0"/>
      <w:marRight w:val="0"/>
      <w:marTop w:val="0"/>
      <w:marBottom w:val="0"/>
      <w:divBdr>
        <w:top w:val="none" w:sz="0" w:space="0" w:color="auto"/>
        <w:left w:val="none" w:sz="0" w:space="0" w:color="auto"/>
        <w:bottom w:val="none" w:sz="0" w:space="0" w:color="auto"/>
        <w:right w:val="none" w:sz="0" w:space="0" w:color="auto"/>
      </w:divBdr>
      <w:divsChild>
        <w:div w:id="1058750340">
          <w:marLeft w:val="0"/>
          <w:marRight w:val="0"/>
          <w:marTop w:val="0"/>
          <w:marBottom w:val="0"/>
          <w:divBdr>
            <w:top w:val="none" w:sz="0" w:space="0" w:color="auto"/>
            <w:left w:val="none" w:sz="0" w:space="0" w:color="auto"/>
            <w:bottom w:val="none" w:sz="0" w:space="0" w:color="auto"/>
            <w:right w:val="none" w:sz="0" w:space="0" w:color="auto"/>
          </w:divBdr>
        </w:div>
      </w:divsChild>
    </w:div>
    <w:div w:id="1140267475">
      <w:bodyDiv w:val="1"/>
      <w:marLeft w:val="0"/>
      <w:marRight w:val="0"/>
      <w:marTop w:val="0"/>
      <w:marBottom w:val="0"/>
      <w:divBdr>
        <w:top w:val="none" w:sz="0" w:space="0" w:color="auto"/>
        <w:left w:val="none" w:sz="0" w:space="0" w:color="auto"/>
        <w:bottom w:val="none" w:sz="0" w:space="0" w:color="auto"/>
        <w:right w:val="none" w:sz="0" w:space="0" w:color="auto"/>
      </w:divBdr>
    </w:div>
    <w:div w:id="1154681279">
      <w:bodyDiv w:val="1"/>
      <w:marLeft w:val="0"/>
      <w:marRight w:val="0"/>
      <w:marTop w:val="0"/>
      <w:marBottom w:val="0"/>
      <w:divBdr>
        <w:top w:val="none" w:sz="0" w:space="0" w:color="auto"/>
        <w:left w:val="none" w:sz="0" w:space="0" w:color="auto"/>
        <w:bottom w:val="none" w:sz="0" w:space="0" w:color="auto"/>
        <w:right w:val="none" w:sz="0" w:space="0" w:color="auto"/>
      </w:divBdr>
    </w:div>
    <w:div w:id="1232618119">
      <w:bodyDiv w:val="1"/>
      <w:marLeft w:val="0"/>
      <w:marRight w:val="0"/>
      <w:marTop w:val="0"/>
      <w:marBottom w:val="0"/>
      <w:divBdr>
        <w:top w:val="none" w:sz="0" w:space="0" w:color="auto"/>
        <w:left w:val="none" w:sz="0" w:space="0" w:color="auto"/>
        <w:bottom w:val="none" w:sz="0" w:space="0" w:color="auto"/>
        <w:right w:val="none" w:sz="0" w:space="0" w:color="auto"/>
      </w:divBdr>
      <w:divsChild>
        <w:div w:id="406654185">
          <w:marLeft w:val="0"/>
          <w:marRight w:val="0"/>
          <w:marTop w:val="150"/>
          <w:marBottom w:val="0"/>
          <w:divBdr>
            <w:top w:val="none" w:sz="0" w:space="0" w:color="auto"/>
            <w:left w:val="none" w:sz="0" w:space="0" w:color="auto"/>
            <w:bottom w:val="none" w:sz="0" w:space="0" w:color="auto"/>
            <w:right w:val="none" w:sz="0" w:space="0" w:color="auto"/>
          </w:divBdr>
        </w:div>
      </w:divsChild>
    </w:div>
    <w:div w:id="1252859186">
      <w:bodyDiv w:val="1"/>
      <w:marLeft w:val="0"/>
      <w:marRight w:val="0"/>
      <w:marTop w:val="0"/>
      <w:marBottom w:val="0"/>
      <w:divBdr>
        <w:top w:val="none" w:sz="0" w:space="0" w:color="auto"/>
        <w:left w:val="none" w:sz="0" w:space="0" w:color="auto"/>
        <w:bottom w:val="none" w:sz="0" w:space="0" w:color="auto"/>
        <w:right w:val="none" w:sz="0" w:space="0" w:color="auto"/>
      </w:divBdr>
    </w:div>
    <w:div w:id="1266310160">
      <w:bodyDiv w:val="1"/>
      <w:marLeft w:val="0"/>
      <w:marRight w:val="0"/>
      <w:marTop w:val="0"/>
      <w:marBottom w:val="0"/>
      <w:divBdr>
        <w:top w:val="none" w:sz="0" w:space="0" w:color="auto"/>
        <w:left w:val="none" w:sz="0" w:space="0" w:color="auto"/>
        <w:bottom w:val="none" w:sz="0" w:space="0" w:color="auto"/>
        <w:right w:val="none" w:sz="0" w:space="0" w:color="auto"/>
      </w:divBdr>
    </w:div>
    <w:div w:id="1278639044">
      <w:bodyDiv w:val="1"/>
      <w:marLeft w:val="0"/>
      <w:marRight w:val="0"/>
      <w:marTop w:val="0"/>
      <w:marBottom w:val="0"/>
      <w:divBdr>
        <w:top w:val="none" w:sz="0" w:space="0" w:color="auto"/>
        <w:left w:val="none" w:sz="0" w:space="0" w:color="auto"/>
        <w:bottom w:val="none" w:sz="0" w:space="0" w:color="auto"/>
        <w:right w:val="none" w:sz="0" w:space="0" w:color="auto"/>
      </w:divBdr>
      <w:divsChild>
        <w:div w:id="186022656">
          <w:marLeft w:val="0"/>
          <w:marRight w:val="0"/>
          <w:marTop w:val="0"/>
          <w:marBottom w:val="0"/>
          <w:divBdr>
            <w:top w:val="none" w:sz="0" w:space="0" w:color="auto"/>
            <w:left w:val="none" w:sz="0" w:space="0" w:color="auto"/>
            <w:bottom w:val="none" w:sz="0" w:space="0" w:color="auto"/>
            <w:right w:val="none" w:sz="0" w:space="0" w:color="auto"/>
          </w:divBdr>
        </w:div>
      </w:divsChild>
    </w:div>
    <w:div w:id="1312564366">
      <w:bodyDiv w:val="1"/>
      <w:marLeft w:val="0"/>
      <w:marRight w:val="0"/>
      <w:marTop w:val="0"/>
      <w:marBottom w:val="0"/>
      <w:divBdr>
        <w:top w:val="none" w:sz="0" w:space="0" w:color="auto"/>
        <w:left w:val="none" w:sz="0" w:space="0" w:color="auto"/>
        <w:bottom w:val="none" w:sz="0" w:space="0" w:color="auto"/>
        <w:right w:val="none" w:sz="0" w:space="0" w:color="auto"/>
      </w:divBdr>
    </w:div>
    <w:div w:id="1316642691">
      <w:bodyDiv w:val="1"/>
      <w:marLeft w:val="0"/>
      <w:marRight w:val="0"/>
      <w:marTop w:val="0"/>
      <w:marBottom w:val="0"/>
      <w:divBdr>
        <w:top w:val="none" w:sz="0" w:space="0" w:color="auto"/>
        <w:left w:val="none" w:sz="0" w:space="0" w:color="auto"/>
        <w:bottom w:val="none" w:sz="0" w:space="0" w:color="auto"/>
        <w:right w:val="none" w:sz="0" w:space="0" w:color="auto"/>
      </w:divBdr>
      <w:divsChild>
        <w:div w:id="1439376825">
          <w:marLeft w:val="0"/>
          <w:marRight w:val="0"/>
          <w:marTop w:val="0"/>
          <w:marBottom w:val="0"/>
          <w:divBdr>
            <w:top w:val="none" w:sz="0" w:space="0" w:color="auto"/>
            <w:left w:val="none" w:sz="0" w:space="0" w:color="auto"/>
            <w:bottom w:val="none" w:sz="0" w:space="0" w:color="auto"/>
            <w:right w:val="none" w:sz="0" w:space="0" w:color="auto"/>
          </w:divBdr>
        </w:div>
      </w:divsChild>
    </w:div>
    <w:div w:id="1323924198">
      <w:bodyDiv w:val="1"/>
      <w:marLeft w:val="0"/>
      <w:marRight w:val="0"/>
      <w:marTop w:val="0"/>
      <w:marBottom w:val="0"/>
      <w:divBdr>
        <w:top w:val="none" w:sz="0" w:space="0" w:color="auto"/>
        <w:left w:val="none" w:sz="0" w:space="0" w:color="auto"/>
        <w:bottom w:val="none" w:sz="0" w:space="0" w:color="auto"/>
        <w:right w:val="none" w:sz="0" w:space="0" w:color="auto"/>
      </w:divBdr>
      <w:divsChild>
        <w:div w:id="1432050076">
          <w:marLeft w:val="0"/>
          <w:marRight w:val="0"/>
          <w:marTop w:val="0"/>
          <w:marBottom w:val="0"/>
          <w:divBdr>
            <w:top w:val="none" w:sz="0" w:space="0" w:color="auto"/>
            <w:left w:val="none" w:sz="0" w:space="0" w:color="auto"/>
            <w:bottom w:val="none" w:sz="0" w:space="0" w:color="auto"/>
            <w:right w:val="none" w:sz="0" w:space="0" w:color="auto"/>
          </w:divBdr>
        </w:div>
      </w:divsChild>
    </w:div>
    <w:div w:id="1364938388">
      <w:bodyDiv w:val="1"/>
      <w:marLeft w:val="0"/>
      <w:marRight w:val="0"/>
      <w:marTop w:val="0"/>
      <w:marBottom w:val="0"/>
      <w:divBdr>
        <w:top w:val="none" w:sz="0" w:space="0" w:color="auto"/>
        <w:left w:val="none" w:sz="0" w:space="0" w:color="auto"/>
        <w:bottom w:val="none" w:sz="0" w:space="0" w:color="auto"/>
        <w:right w:val="none" w:sz="0" w:space="0" w:color="auto"/>
      </w:divBdr>
    </w:div>
    <w:div w:id="1394043585">
      <w:bodyDiv w:val="1"/>
      <w:marLeft w:val="0"/>
      <w:marRight w:val="0"/>
      <w:marTop w:val="0"/>
      <w:marBottom w:val="0"/>
      <w:divBdr>
        <w:top w:val="none" w:sz="0" w:space="0" w:color="auto"/>
        <w:left w:val="none" w:sz="0" w:space="0" w:color="auto"/>
        <w:bottom w:val="none" w:sz="0" w:space="0" w:color="auto"/>
        <w:right w:val="none" w:sz="0" w:space="0" w:color="auto"/>
      </w:divBdr>
    </w:div>
    <w:div w:id="1426733436">
      <w:bodyDiv w:val="1"/>
      <w:marLeft w:val="0"/>
      <w:marRight w:val="0"/>
      <w:marTop w:val="0"/>
      <w:marBottom w:val="0"/>
      <w:divBdr>
        <w:top w:val="none" w:sz="0" w:space="0" w:color="auto"/>
        <w:left w:val="none" w:sz="0" w:space="0" w:color="auto"/>
        <w:bottom w:val="none" w:sz="0" w:space="0" w:color="auto"/>
        <w:right w:val="none" w:sz="0" w:space="0" w:color="auto"/>
      </w:divBdr>
      <w:divsChild>
        <w:div w:id="473447747">
          <w:marLeft w:val="0"/>
          <w:marRight w:val="0"/>
          <w:marTop w:val="0"/>
          <w:marBottom w:val="0"/>
          <w:divBdr>
            <w:top w:val="none" w:sz="0" w:space="0" w:color="auto"/>
            <w:left w:val="none" w:sz="0" w:space="0" w:color="auto"/>
            <w:bottom w:val="none" w:sz="0" w:space="0" w:color="auto"/>
            <w:right w:val="none" w:sz="0" w:space="0" w:color="auto"/>
          </w:divBdr>
        </w:div>
      </w:divsChild>
    </w:div>
    <w:div w:id="1449281087">
      <w:bodyDiv w:val="1"/>
      <w:marLeft w:val="0"/>
      <w:marRight w:val="0"/>
      <w:marTop w:val="0"/>
      <w:marBottom w:val="0"/>
      <w:divBdr>
        <w:top w:val="none" w:sz="0" w:space="0" w:color="auto"/>
        <w:left w:val="none" w:sz="0" w:space="0" w:color="auto"/>
        <w:bottom w:val="none" w:sz="0" w:space="0" w:color="auto"/>
        <w:right w:val="none" w:sz="0" w:space="0" w:color="auto"/>
      </w:divBdr>
    </w:div>
    <w:div w:id="1454206495">
      <w:bodyDiv w:val="1"/>
      <w:marLeft w:val="0"/>
      <w:marRight w:val="0"/>
      <w:marTop w:val="0"/>
      <w:marBottom w:val="0"/>
      <w:divBdr>
        <w:top w:val="none" w:sz="0" w:space="0" w:color="auto"/>
        <w:left w:val="none" w:sz="0" w:space="0" w:color="auto"/>
        <w:bottom w:val="none" w:sz="0" w:space="0" w:color="auto"/>
        <w:right w:val="none" w:sz="0" w:space="0" w:color="auto"/>
      </w:divBdr>
      <w:divsChild>
        <w:div w:id="889656814">
          <w:marLeft w:val="0"/>
          <w:marRight w:val="0"/>
          <w:marTop w:val="0"/>
          <w:marBottom w:val="0"/>
          <w:divBdr>
            <w:top w:val="none" w:sz="0" w:space="0" w:color="auto"/>
            <w:left w:val="none" w:sz="0" w:space="0" w:color="auto"/>
            <w:bottom w:val="none" w:sz="0" w:space="0" w:color="auto"/>
            <w:right w:val="none" w:sz="0" w:space="0" w:color="auto"/>
          </w:divBdr>
        </w:div>
      </w:divsChild>
    </w:div>
    <w:div w:id="1475218604">
      <w:bodyDiv w:val="1"/>
      <w:marLeft w:val="0"/>
      <w:marRight w:val="0"/>
      <w:marTop w:val="0"/>
      <w:marBottom w:val="0"/>
      <w:divBdr>
        <w:top w:val="none" w:sz="0" w:space="0" w:color="auto"/>
        <w:left w:val="none" w:sz="0" w:space="0" w:color="auto"/>
        <w:bottom w:val="none" w:sz="0" w:space="0" w:color="auto"/>
        <w:right w:val="none" w:sz="0" w:space="0" w:color="auto"/>
      </w:divBdr>
      <w:divsChild>
        <w:div w:id="168722190">
          <w:marLeft w:val="0"/>
          <w:marRight w:val="0"/>
          <w:marTop w:val="0"/>
          <w:marBottom w:val="0"/>
          <w:divBdr>
            <w:top w:val="none" w:sz="0" w:space="0" w:color="auto"/>
            <w:left w:val="none" w:sz="0" w:space="0" w:color="auto"/>
            <w:bottom w:val="none" w:sz="0" w:space="0" w:color="auto"/>
            <w:right w:val="none" w:sz="0" w:space="0" w:color="auto"/>
          </w:divBdr>
        </w:div>
      </w:divsChild>
    </w:div>
    <w:div w:id="1484850081">
      <w:bodyDiv w:val="1"/>
      <w:marLeft w:val="0"/>
      <w:marRight w:val="0"/>
      <w:marTop w:val="0"/>
      <w:marBottom w:val="0"/>
      <w:divBdr>
        <w:top w:val="none" w:sz="0" w:space="0" w:color="auto"/>
        <w:left w:val="none" w:sz="0" w:space="0" w:color="auto"/>
        <w:bottom w:val="none" w:sz="0" w:space="0" w:color="auto"/>
        <w:right w:val="none" w:sz="0" w:space="0" w:color="auto"/>
      </w:divBdr>
    </w:div>
    <w:div w:id="1537350956">
      <w:bodyDiv w:val="1"/>
      <w:marLeft w:val="0"/>
      <w:marRight w:val="0"/>
      <w:marTop w:val="0"/>
      <w:marBottom w:val="0"/>
      <w:divBdr>
        <w:top w:val="none" w:sz="0" w:space="0" w:color="auto"/>
        <w:left w:val="none" w:sz="0" w:space="0" w:color="auto"/>
        <w:bottom w:val="none" w:sz="0" w:space="0" w:color="auto"/>
        <w:right w:val="none" w:sz="0" w:space="0" w:color="auto"/>
      </w:divBdr>
    </w:div>
    <w:div w:id="1553417317">
      <w:bodyDiv w:val="1"/>
      <w:marLeft w:val="0"/>
      <w:marRight w:val="0"/>
      <w:marTop w:val="0"/>
      <w:marBottom w:val="0"/>
      <w:divBdr>
        <w:top w:val="none" w:sz="0" w:space="0" w:color="auto"/>
        <w:left w:val="none" w:sz="0" w:space="0" w:color="auto"/>
        <w:bottom w:val="none" w:sz="0" w:space="0" w:color="auto"/>
        <w:right w:val="none" w:sz="0" w:space="0" w:color="auto"/>
      </w:divBdr>
      <w:divsChild>
        <w:div w:id="1122116042">
          <w:marLeft w:val="0"/>
          <w:marRight w:val="0"/>
          <w:marTop w:val="0"/>
          <w:marBottom w:val="0"/>
          <w:divBdr>
            <w:top w:val="none" w:sz="0" w:space="0" w:color="auto"/>
            <w:left w:val="none" w:sz="0" w:space="0" w:color="auto"/>
            <w:bottom w:val="none" w:sz="0" w:space="0" w:color="auto"/>
            <w:right w:val="none" w:sz="0" w:space="0" w:color="auto"/>
          </w:divBdr>
        </w:div>
      </w:divsChild>
    </w:div>
    <w:div w:id="1587422503">
      <w:bodyDiv w:val="1"/>
      <w:marLeft w:val="0"/>
      <w:marRight w:val="0"/>
      <w:marTop w:val="0"/>
      <w:marBottom w:val="0"/>
      <w:divBdr>
        <w:top w:val="none" w:sz="0" w:space="0" w:color="auto"/>
        <w:left w:val="none" w:sz="0" w:space="0" w:color="auto"/>
        <w:bottom w:val="none" w:sz="0" w:space="0" w:color="auto"/>
        <w:right w:val="none" w:sz="0" w:space="0" w:color="auto"/>
      </w:divBdr>
    </w:div>
    <w:div w:id="1668363030">
      <w:bodyDiv w:val="1"/>
      <w:marLeft w:val="0"/>
      <w:marRight w:val="0"/>
      <w:marTop w:val="0"/>
      <w:marBottom w:val="0"/>
      <w:divBdr>
        <w:top w:val="none" w:sz="0" w:space="0" w:color="auto"/>
        <w:left w:val="none" w:sz="0" w:space="0" w:color="auto"/>
        <w:bottom w:val="none" w:sz="0" w:space="0" w:color="auto"/>
        <w:right w:val="none" w:sz="0" w:space="0" w:color="auto"/>
      </w:divBdr>
    </w:div>
    <w:div w:id="1698773132">
      <w:bodyDiv w:val="1"/>
      <w:marLeft w:val="0"/>
      <w:marRight w:val="0"/>
      <w:marTop w:val="0"/>
      <w:marBottom w:val="0"/>
      <w:divBdr>
        <w:top w:val="none" w:sz="0" w:space="0" w:color="auto"/>
        <w:left w:val="none" w:sz="0" w:space="0" w:color="auto"/>
        <w:bottom w:val="none" w:sz="0" w:space="0" w:color="auto"/>
        <w:right w:val="none" w:sz="0" w:space="0" w:color="auto"/>
      </w:divBdr>
      <w:divsChild>
        <w:div w:id="857962464">
          <w:marLeft w:val="0"/>
          <w:marRight w:val="0"/>
          <w:marTop w:val="0"/>
          <w:marBottom w:val="0"/>
          <w:divBdr>
            <w:top w:val="none" w:sz="0" w:space="0" w:color="auto"/>
            <w:left w:val="none" w:sz="0" w:space="0" w:color="auto"/>
            <w:bottom w:val="none" w:sz="0" w:space="0" w:color="auto"/>
            <w:right w:val="none" w:sz="0" w:space="0" w:color="auto"/>
          </w:divBdr>
        </w:div>
      </w:divsChild>
    </w:div>
    <w:div w:id="1787232864">
      <w:bodyDiv w:val="1"/>
      <w:marLeft w:val="0"/>
      <w:marRight w:val="0"/>
      <w:marTop w:val="0"/>
      <w:marBottom w:val="0"/>
      <w:divBdr>
        <w:top w:val="none" w:sz="0" w:space="0" w:color="auto"/>
        <w:left w:val="none" w:sz="0" w:space="0" w:color="auto"/>
        <w:bottom w:val="none" w:sz="0" w:space="0" w:color="auto"/>
        <w:right w:val="none" w:sz="0" w:space="0" w:color="auto"/>
      </w:divBdr>
      <w:divsChild>
        <w:div w:id="11300811">
          <w:marLeft w:val="0"/>
          <w:marRight w:val="0"/>
          <w:marTop w:val="0"/>
          <w:marBottom w:val="0"/>
          <w:divBdr>
            <w:top w:val="none" w:sz="0" w:space="0" w:color="auto"/>
            <w:left w:val="none" w:sz="0" w:space="0" w:color="auto"/>
            <w:bottom w:val="none" w:sz="0" w:space="0" w:color="auto"/>
            <w:right w:val="none" w:sz="0" w:space="0" w:color="auto"/>
          </w:divBdr>
        </w:div>
      </w:divsChild>
    </w:div>
    <w:div w:id="1874271473">
      <w:bodyDiv w:val="1"/>
      <w:marLeft w:val="0"/>
      <w:marRight w:val="0"/>
      <w:marTop w:val="0"/>
      <w:marBottom w:val="0"/>
      <w:divBdr>
        <w:top w:val="none" w:sz="0" w:space="0" w:color="auto"/>
        <w:left w:val="none" w:sz="0" w:space="0" w:color="auto"/>
        <w:bottom w:val="none" w:sz="0" w:space="0" w:color="auto"/>
        <w:right w:val="none" w:sz="0" w:space="0" w:color="auto"/>
      </w:divBdr>
    </w:div>
    <w:div w:id="1875193161">
      <w:bodyDiv w:val="1"/>
      <w:marLeft w:val="0"/>
      <w:marRight w:val="0"/>
      <w:marTop w:val="0"/>
      <w:marBottom w:val="0"/>
      <w:divBdr>
        <w:top w:val="none" w:sz="0" w:space="0" w:color="auto"/>
        <w:left w:val="none" w:sz="0" w:space="0" w:color="auto"/>
        <w:bottom w:val="none" w:sz="0" w:space="0" w:color="auto"/>
        <w:right w:val="none" w:sz="0" w:space="0" w:color="auto"/>
      </w:divBdr>
    </w:div>
    <w:div w:id="1885020346">
      <w:bodyDiv w:val="1"/>
      <w:marLeft w:val="0"/>
      <w:marRight w:val="0"/>
      <w:marTop w:val="0"/>
      <w:marBottom w:val="0"/>
      <w:divBdr>
        <w:top w:val="none" w:sz="0" w:space="0" w:color="auto"/>
        <w:left w:val="none" w:sz="0" w:space="0" w:color="auto"/>
        <w:bottom w:val="none" w:sz="0" w:space="0" w:color="auto"/>
        <w:right w:val="none" w:sz="0" w:space="0" w:color="auto"/>
      </w:divBdr>
      <w:divsChild>
        <w:div w:id="1975716487">
          <w:marLeft w:val="0"/>
          <w:marRight w:val="0"/>
          <w:marTop w:val="0"/>
          <w:marBottom w:val="0"/>
          <w:divBdr>
            <w:top w:val="none" w:sz="0" w:space="0" w:color="auto"/>
            <w:left w:val="none" w:sz="0" w:space="0" w:color="auto"/>
            <w:bottom w:val="none" w:sz="0" w:space="0" w:color="auto"/>
            <w:right w:val="none" w:sz="0" w:space="0" w:color="auto"/>
          </w:divBdr>
        </w:div>
      </w:divsChild>
    </w:div>
    <w:div w:id="1893535115">
      <w:bodyDiv w:val="1"/>
      <w:marLeft w:val="0"/>
      <w:marRight w:val="0"/>
      <w:marTop w:val="0"/>
      <w:marBottom w:val="0"/>
      <w:divBdr>
        <w:top w:val="none" w:sz="0" w:space="0" w:color="auto"/>
        <w:left w:val="none" w:sz="0" w:space="0" w:color="auto"/>
        <w:bottom w:val="none" w:sz="0" w:space="0" w:color="auto"/>
        <w:right w:val="none" w:sz="0" w:space="0" w:color="auto"/>
      </w:divBdr>
      <w:divsChild>
        <w:div w:id="1826773692">
          <w:marLeft w:val="0"/>
          <w:marRight w:val="0"/>
          <w:marTop w:val="0"/>
          <w:marBottom w:val="0"/>
          <w:divBdr>
            <w:top w:val="none" w:sz="0" w:space="0" w:color="auto"/>
            <w:left w:val="none" w:sz="0" w:space="0" w:color="auto"/>
            <w:bottom w:val="none" w:sz="0" w:space="0" w:color="auto"/>
            <w:right w:val="none" w:sz="0" w:space="0" w:color="auto"/>
          </w:divBdr>
        </w:div>
      </w:divsChild>
    </w:div>
    <w:div w:id="1906138280">
      <w:bodyDiv w:val="1"/>
      <w:marLeft w:val="0"/>
      <w:marRight w:val="0"/>
      <w:marTop w:val="0"/>
      <w:marBottom w:val="0"/>
      <w:divBdr>
        <w:top w:val="none" w:sz="0" w:space="0" w:color="auto"/>
        <w:left w:val="none" w:sz="0" w:space="0" w:color="auto"/>
        <w:bottom w:val="none" w:sz="0" w:space="0" w:color="auto"/>
        <w:right w:val="none" w:sz="0" w:space="0" w:color="auto"/>
      </w:divBdr>
      <w:divsChild>
        <w:div w:id="424038829">
          <w:marLeft w:val="0"/>
          <w:marRight w:val="0"/>
          <w:marTop w:val="0"/>
          <w:marBottom w:val="0"/>
          <w:divBdr>
            <w:top w:val="none" w:sz="0" w:space="0" w:color="auto"/>
            <w:left w:val="none" w:sz="0" w:space="0" w:color="auto"/>
            <w:bottom w:val="none" w:sz="0" w:space="0" w:color="auto"/>
            <w:right w:val="none" w:sz="0" w:space="0" w:color="auto"/>
          </w:divBdr>
        </w:div>
      </w:divsChild>
    </w:div>
    <w:div w:id="1906257379">
      <w:bodyDiv w:val="1"/>
      <w:marLeft w:val="0"/>
      <w:marRight w:val="0"/>
      <w:marTop w:val="0"/>
      <w:marBottom w:val="0"/>
      <w:divBdr>
        <w:top w:val="none" w:sz="0" w:space="0" w:color="auto"/>
        <w:left w:val="none" w:sz="0" w:space="0" w:color="auto"/>
        <w:bottom w:val="none" w:sz="0" w:space="0" w:color="auto"/>
        <w:right w:val="none" w:sz="0" w:space="0" w:color="auto"/>
      </w:divBdr>
    </w:div>
    <w:div w:id="1938247860">
      <w:bodyDiv w:val="1"/>
      <w:marLeft w:val="0"/>
      <w:marRight w:val="0"/>
      <w:marTop w:val="0"/>
      <w:marBottom w:val="0"/>
      <w:divBdr>
        <w:top w:val="none" w:sz="0" w:space="0" w:color="auto"/>
        <w:left w:val="none" w:sz="0" w:space="0" w:color="auto"/>
        <w:bottom w:val="none" w:sz="0" w:space="0" w:color="auto"/>
        <w:right w:val="none" w:sz="0" w:space="0" w:color="auto"/>
      </w:divBdr>
      <w:divsChild>
        <w:div w:id="164319398">
          <w:marLeft w:val="547"/>
          <w:marRight w:val="0"/>
          <w:marTop w:val="0"/>
          <w:marBottom w:val="0"/>
          <w:divBdr>
            <w:top w:val="none" w:sz="0" w:space="0" w:color="auto"/>
            <w:left w:val="none" w:sz="0" w:space="0" w:color="auto"/>
            <w:bottom w:val="none" w:sz="0" w:space="0" w:color="auto"/>
            <w:right w:val="none" w:sz="0" w:space="0" w:color="auto"/>
          </w:divBdr>
        </w:div>
        <w:div w:id="225533504">
          <w:marLeft w:val="1166"/>
          <w:marRight w:val="0"/>
          <w:marTop w:val="0"/>
          <w:marBottom w:val="0"/>
          <w:divBdr>
            <w:top w:val="none" w:sz="0" w:space="0" w:color="auto"/>
            <w:left w:val="none" w:sz="0" w:space="0" w:color="auto"/>
            <w:bottom w:val="none" w:sz="0" w:space="0" w:color="auto"/>
            <w:right w:val="none" w:sz="0" w:space="0" w:color="auto"/>
          </w:divBdr>
        </w:div>
      </w:divsChild>
    </w:div>
    <w:div w:id="1989741292">
      <w:bodyDiv w:val="1"/>
      <w:marLeft w:val="0"/>
      <w:marRight w:val="0"/>
      <w:marTop w:val="0"/>
      <w:marBottom w:val="0"/>
      <w:divBdr>
        <w:top w:val="none" w:sz="0" w:space="0" w:color="auto"/>
        <w:left w:val="none" w:sz="0" w:space="0" w:color="auto"/>
        <w:bottom w:val="none" w:sz="0" w:space="0" w:color="auto"/>
        <w:right w:val="none" w:sz="0" w:space="0" w:color="auto"/>
      </w:divBdr>
      <w:divsChild>
        <w:div w:id="586305755">
          <w:marLeft w:val="0"/>
          <w:marRight w:val="0"/>
          <w:marTop w:val="0"/>
          <w:marBottom w:val="0"/>
          <w:divBdr>
            <w:top w:val="none" w:sz="0" w:space="0" w:color="auto"/>
            <w:left w:val="none" w:sz="0" w:space="0" w:color="auto"/>
            <w:bottom w:val="none" w:sz="0" w:space="0" w:color="auto"/>
            <w:right w:val="none" w:sz="0" w:space="0" w:color="auto"/>
          </w:divBdr>
        </w:div>
      </w:divsChild>
    </w:div>
    <w:div w:id="1997681159">
      <w:bodyDiv w:val="1"/>
      <w:marLeft w:val="0"/>
      <w:marRight w:val="0"/>
      <w:marTop w:val="0"/>
      <w:marBottom w:val="0"/>
      <w:divBdr>
        <w:top w:val="none" w:sz="0" w:space="0" w:color="auto"/>
        <w:left w:val="none" w:sz="0" w:space="0" w:color="auto"/>
        <w:bottom w:val="none" w:sz="0" w:space="0" w:color="auto"/>
        <w:right w:val="none" w:sz="0" w:space="0" w:color="auto"/>
      </w:divBdr>
    </w:div>
    <w:div w:id="2020112811">
      <w:bodyDiv w:val="1"/>
      <w:marLeft w:val="0"/>
      <w:marRight w:val="0"/>
      <w:marTop w:val="0"/>
      <w:marBottom w:val="0"/>
      <w:divBdr>
        <w:top w:val="none" w:sz="0" w:space="0" w:color="auto"/>
        <w:left w:val="none" w:sz="0" w:space="0" w:color="auto"/>
        <w:bottom w:val="none" w:sz="0" w:space="0" w:color="auto"/>
        <w:right w:val="none" w:sz="0" w:space="0" w:color="auto"/>
      </w:divBdr>
    </w:div>
    <w:div w:id="2046363202">
      <w:bodyDiv w:val="1"/>
      <w:marLeft w:val="0"/>
      <w:marRight w:val="0"/>
      <w:marTop w:val="0"/>
      <w:marBottom w:val="0"/>
      <w:divBdr>
        <w:top w:val="none" w:sz="0" w:space="0" w:color="auto"/>
        <w:left w:val="none" w:sz="0" w:space="0" w:color="auto"/>
        <w:bottom w:val="none" w:sz="0" w:space="0" w:color="auto"/>
        <w:right w:val="none" w:sz="0" w:space="0" w:color="auto"/>
      </w:divBdr>
      <w:divsChild>
        <w:div w:id="1947106603">
          <w:marLeft w:val="0"/>
          <w:marRight w:val="0"/>
          <w:marTop w:val="0"/>
          <w:marBottom w:val="0"/>
          <w:divBdr>
            <w:top w:val="none" w:sz="0" w:space="0" w:color="auto"/>
            <w:left w:val="none" w:sz="0" w:space="0" w:color="auto"/>
            <w:bottom w:val="none" w:sz="0" w:space="0" w:color="auto"/>
            <w:right w:val="none" w:sz="0" w:space="0" w:color="auto"/>
          </w:divBdr>
        </w:div>
      </w:divsChild>
    </w:div>
    <w:div w:id="2054116866">
      <w:bodyDiv w:val="1"/>
      <w:marLeft w:val="0"/>
      <w:marRight w:val="0"/>
      <w:marTop w:val="0"/>
      <w:marBottom w:val="0"/>
      <w:divBdr>
        <w:top w:val="none" w:sz="0" w:space="0" w:color="auto"/>
        <w:left w:val="none" w:sz="0" w:space="0" w:color="auto"/>
        <w:bottom w:val="none" w:sz="0" w:space="0" w:color="auto"/>
        <w:right w:val="none" w:sz="0" w:space="0" w:color="auto"/>
      </w:divBdr>
      <w:divsChild>
        <w:div w:id="2043554362">
          <w:marLeft w:val="0"/>
          <w:marRight w:val="0"/>
          <w:marTop w:val="0"/>
          <w:marBottom w:val="0"/>
          <w:divBdr>
            <w:top w:val="none" w:sz="0" w:space="0" w:color="auto"/>
            <w:left w:val="none" w:sz="0" w:space="0" w:color="auto"/>
            <w:bottom w:val="none" w:sz="0" w:space="0" w:color="auto"/>
            <w:right w:val="none" w:sz="0" w:space="0" w:color="auto"/>
          </w:divBdr>
        </w:div>
      </w:divsChild>
    </w:div>
    <w:div w:id="2061051132">
      <w:bodyDiv w:val="1"/>
      <w:marLeft w:val="0"/>
      <w:marRight w:val="0"/>
      <w:marTop w:val="0"/>
      <w:marBottom w:val="0"/>
      <w:divBdr>
        <w:top w:val="none" w:sz="0" w:space="0" w:color="auto"/>
        <w:left w:val="none" w:sz="0" w:space="0" w:color="auto"/>
        <w:bottom w:val="none" w:sz="0" w:space="0" w:color="auto"/>
        <w:right w:val="none" w:sz="0" w:space="0" w:color="auto"/>
      </w:divBdr>
    </w:div>
    <w:div w:id="2082873002">
      <w:bodyDiv w:val="1"/>
      <w:marLeft w:val="0"/>
      <w:marRight w:val="0"/>
      <w:marTop w:val="0"/>
      <w:marBottom w:val="0"/>
      <w:divBdr>
        <w:top w:val="none" w:sz="0" w:space="0" w:color="auto"/>
        <w:left w:val="none" w:sz="0" w:space="0" w:color="auto"/>
        <w:bottom w:val="none" w:sz="0" w:space="0" w:color="auto"/>
        <w:right w:val="none" w:sz="0" w:space="0" w:color="auto"/>
      </w:divBdr>
    </w:div>
    <w:div w:id="2144959613">
      <w:bodyDiv w:val="1"/>
      <w:marLeft w:val="0"/>
      <w:marRight w:val="0"/>
      <w:marTop w:val="0"/>
      <w:marBottom w:val="0"/>
      <w:divBdr>
        <w:top w:val="none" w:sz="0" w:space="0" w:color="auto"/>
        <w:left w:val="none" w:sz="0" w:space="0" w:color="auto"/>
        <w:bottom w:val="none" w:sz="0" w:space="0" w:color="auto"/>
        <w:right w:val="none" w:sz="0" w:space="0" w:color="auto"/>
      </w:divBdr>
      <w:divsChild>
        <w:div w:id="1335449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diagramQuickStyle" Target="diagrams/quickStyle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www.zaos.org.c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FD6736-E972-43FF-9728-39FF84642CFB}"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zh-CN" altLang="en-US"/>
        </a:p>
      </dgm:t>
    </dgm:pt>
    <dgm:pt modelId="{75327E9F-C895-4D96-84E7-DFF5244E8118}">
      <dgm:prSet phldrT="[文本]"/>
      <dgm:spPr/>
      <dgm:t>
        <a:bodyPr/>
        <a:lstStyle/>
        <a:p>
          <a:r>
            <a:rPr lang="zh-CN" altLang="en-US" dirty="0" smtClean="0">
              <a:latin typeface="微软雅黑" pitchFamily="34" charset="-122"/>
              <a:ea typeface="微软雅黑" pitchFamily="34" charset="-122"/>
            </a:rPr>
            <a:t>通过政策和方针鼓励国内政府、事业单位、国有企业等采取托管服务的方式外包业务；</a:t>
          </a:r>
          <a:endParaRPr lang="zh-CN" altLang="en-US" dirty="0"/>
        </a:p>
      </dgm:t>
    </dgm:pt>
    <dgm:pt modelId="{FFD34E42-7456-422B-8A0C-3681E96354F9}" type="parTrans" cxnId="{36B1F013-826D-457B-A55D-F52A7FC24790}">
      <dgm:prSet/>
      <dgm:spPr/>
      <dgm:t>
        <a:bodyPr/>
        <a:lstStyle/>
        <a:p>
          <a:endParaRPr lang="zh-CN" altLang="en-US"/>
        </a:p>
      </dgm:t>
    </dgm:pt>
    <dgm:pt modelId="{277FA277-D0E7-4ACD-B0BB-907E294D45A4}" type="sibTrans" cxnId="{36B1F013-826D-457B-A55D-F52A7FC24790}">
      <dgm:prSet/>
      <dgm:spPr/>
      <dgm:t>
        <a:bodyPr/>
        <a:lstStyle/>
        <a:p>
          <a:endParaRPr lang="zh-CN" altLang="en-US"/>
        </a:p>
      </dgm:t>
    </dgm:pt>
    <dgm:pt modelId="{E683D88C-E79B-4925-81E6-176D9EBCDB74}">
      <dgm:prSet phldrT="[文本]"/>
      <dgm:spPr/>
      <dgm:t>
        <a:bodyPr/>
        <a:lstStyle/>
        <a:p>
          <a:r>
            <a:rPr lang="zh-CN" altLang="zh-CN" dirty="0" smtClean="0">
              <a:latin typeface="微软雅黑" pitchFamily="34" charset="-122"/>
              <a:ea typeface="微软雅黑" pitchFamily="34" charset="-122"/>
            </a:rPr>
            <a:t>鼓励电信等运营服务商为服务外包企业提供云计算等技术支持平台</a:t>
          </a:r>
          <a:r>
            <a:rPr lang="zh-CN" altLang="en-US" dirty="0" smtClean="0">
              <a:latin typeface="微软雅黑" pitchFamily="34" charset="-122"/>
              <a:ea typeface="微软雅黑" pitchFamily="34" charset="-122"/>
            </a:rPr>
            <a:t>；</a:t>
          </a:r>
          <a:endParaRPr lang="zh-CN" altLang="en-US" dirty="0"/>
        </a:p>
      </dgm:t>
    </dgm:pt>
    <dgm:pt modelId="{1872A18E-D974-4D5E-B0F7-47268EC74BA8}" type="parTrans" cxnId="{F89CF3F0-1B7C-4EE4-AED0-F72ED40CCB5D}">
      <dgm:prSet/>
      <dgm:spPr/>
      <dgm:t>
        <a:bodyPr/>
        <a:lstStyle/>
        <a:p>
          <a:endParaRPr lang="zh-CN" altLang="en-US"/>
        </a:p>
      </dgm:t>
    </dgm:pt>
    <dgm:pt modelId="{339BA4D1-2953-43FC-A499-468D3657E288}" type="sibTrans" cxnId="{F89CF3F0-1B7C-4EE4-AED0-F72ED40CCB5D}">
      <dgm:prSet/>
      <dgm:spPr/>
      <dgm:t>
        <a:bodyPr/>
        <a:lstStyle/>
        <a:p>
          <a:endParaRPr lang="zh-CN" altLang="en-US"/>
        </a:p>
      </dgm:t>
    </dgm:pt>
    <dgm:pt modelId="{71E49FB0-1CF5-44C2-99AB-B1A94F227B81}">
      <dgm:prSet/>
      <dgm:spPr/>
      <dgm:t>
        <a:bodyPr/>
        <a:lstStyle/>
        <a:p>
          <a:r>
            <a:rPr lang="zh-CN" altLang="zh-CN" dirty="0" smtClean="0">
              <a:latin typeface="微软雅黑" pitchFamily="34" charset="-122"/>
              <a:ea typeface="微软雅黑" pitchFamily="34" charset="-122"/>
            </a:rPr>
            <a:t>鼓励服务外包企业积极主动开拓国内市场，挖掘内需业务</a:t>
          </a:r>
          <a:r>
            <a:rPr lang="zh-CN" altLang="en-US" dirty="0" smtClean="0">
              <a:latin typeface="微软雅黑" pitchFamily="34" charset="-122"/>
              <a:ea typeface="微软雅黑" pitchFamily="34" charset="-122"/>
            </a:rPr>
            <a:t>；</a:t>
          </a:r>
          <a:endParaRPr lang="zh-CN" altLang="en-US" dirty="0"/>
        </a:p>
      </dgm:t>
    </dgm:pt>
    <dgm:pt modelId="{09532C13-464A-4514-A4C7-B514290E829C}" type="parTrans" cxnId="{FF9821F0-6469-4B37-93AB-85BA9CC23643}">
      <dgm:prSet/>
      <dgm:spPr/>
      <dgm:t>
        <a:bodyPr/>
        <a:lstStyle/>
        <a:p>
          <a:endParaRPr lang="zh-CN" altLang="en-US"/>
        </a:p>
      </dgm:t>
    </dgm:pt>
    <dgm:pt modelId="{50A3CE2B-1343-406A-A586-B13CEFC1FE1A}" type="sibTrans" cxnId="{FF9821F0-6469-4B37-93AB-85BA9CC23643}">
      <dgm:prSet/>
      <dgm:spPr/>
      <dgm:t>
        <a:bodyPr/>
        <a:lstStyle/>
        <a:p>
          <a:endParaRPr lang="zh-CN" altLang="en-US"/>
        </a:p>
      </dgm:t>
    </dgm:pt>
    <dgm:pt modelId="{0CF900E5-E850-43AD-BD88-E107D86702F1}">
      <dgm:prSet/>
      <dgm:spPr/>
      <dgm:t>
        <a:bodyPr/>
        <a:lstStyle/>
        <a:p>
          <a:r>
            <a:rPr lang="zh-CN" altLang="zh-CN" dirty="0" smtClean="0">
              <a:latin typeface="微软雅黑" pitchFamily="34" charset="-122"/>
              <a:ea typeface="微软雅黑" pitchFamily="34" charset="-122"/>
            </a:rPr>
            <a:t>逐步建立完善的在岸服务外包发展扶持整体系</a:t>
          </a:r>
          <a:r>
            <a:rPr lang="zh-CN" altLang="en-US" dirty="0" smtClean="0">
              <a:latin typeface="微软雅黑" pitchFamily="34" charset="-122"/>
              <a:ea typeface="微软雅黑" pitchFamily="34" charset="-122"/>
            </a:rPr>
            <a:t>；</a:t>
          </a:r>
          <a:endParaRPr lang="zh-CN" altLang="en-US" dirty="0"/>
        </a:p>
      </dgm:t>
    </dgm:pt>
    <dgm:pt modelId="{527C7FA6-8649-49E3-B5F3-28102BF8760F}" type="parTrans" cxnId="{A2566706-CFC6-4008-A5D7-E546C1DF3DBF}">
      <dgm:prSet/>
      <dgm:spPr/>
      <dgm:t>
        <a:bodyPr/>
        <a:lstStyle/>
        <a:p>
          <a:endParaRPr lang="zh-CN" altLang="en-US"/>
        </a:p>
      </dgm:t>
    </dgm:pt>
    <dgm:pt modelId="{9729D92E-9442-4902-B1E4-BB3D18589B92}" type="sibTrans" cxnId="{A2566706-CFC6-4008-A5D7-E546C1DF3DBF}">
      <dgm:prSet/>
      <dgm:spPr/>
      <dgm:t>
        <a:bodyPr/>
        <a:lstStyle/>
        <a:p>
          <a:endParaRPr lang="zh-CN" altLang="en-US"/>
        </a:p>
      </dgm:t>
    </dgm:pt>
    <dgm:pt modelId="{ABC88E4B-6D09-4E6C-BF2B-54A68F3B5DB6}">
      <dgm:prSet/>
      <dgm:spPr/>
      <dgm:t>
        <a:bodyPr/>
        <a:lstStyle/>
        <a:p>
          <a:r>
            <a:rPr lang="zh-CN" altLang="zh-CN" dirty="0" smtClean="0">
              <a:latin typeface="微软雅黑" pitchFamily="34" charset="-122"/>
              <a:ea typeface="微软雅黑" pitchFamily="34" charset="-122"/>
            </a:rPr>
            <a:t>搭建完善的服务外包业务交易平台、人才培养和交流平台、信息共享平台等系统化平台服务</a:t>
          </a:r>
          <a:r>
            <a:rPr lang="zh-CN" altLang="en-US" dirty="0" smtClean="0">
              <a:latin typeface="微软雅黑" pitchFamily="34" charset="-122"/>
              <a:ea typeface="微软雅黑" pitchFamily="34" charset="-122"/>
            </a:rPr>
            <a:t>；</a:t>
          </a:r>
          <a:endParaRPr lang="en-US" altLang="zh-CN" dirty="0" smtClean="0">
            <a:latin typeface="微软雅黑" pitchFamily="34" charset="-122"/>
            <a:ea typeface="微软雅黑" pitchFamily="34" charset="-122"/>
          </a:endParaRPr>
        </a:p>
      </dgm:t>
    </dgm:pt>
    <dgm:pt modelId="{EA9328A4-2693-4870-A8DD-1DEA4072BB7B}" type="parTrans" cxnId="{F0CB965E-D3CA-4BD8-8861-96A4B413CD59}">
      <dgm:prSet/>
      <dgm:spPr/>
      <dgm:t>
        <a:bodyPr/>
        <a:lstStyle/>
        <a:p>
          <a:endParaRPr lang="zh-CN" altLang="en-US"/>
        </a:p>
      </dgm:t>
    </dgm:pt>
    <dgm:pt modelId="{D4BCC73F-076A-4029-8D0F-8401ADEAD84A}" type="sibTrans" cxnId="{F0CB965E-D3CA-4BD8-8861-96A4B413CD59}">
      <dgm:prSet/>
      <dgm:spPr/>
      <dgm:t>
        <a:bodyPr/>
        <a:lstStyle/>
        <a:p>
          <a:endParaRPr lang="zh-CN" altLang="en-US"/>
        </a:p>
      </dgm:t>
    </dgm:pt>
    <dgm:pt modelId="{E4E1996D-AF35-458F-BB46-70D921B27FE0}">
      <dgm:prSet/>
      <dgm:spPr/>
      <dgm:t>
        <a:bodyPr/>
        <a:lstStyle/>
        <a:p>
          <a:r>
            <a:rPr lang="zh-CN" altLang="zh-CN" dirty="0" smtClean="0">
              <a:latin typeface="微软雅黑" pitchFamily="34" charset="-122"/>
              <a:ea typeface="微软雅黑" pitchFamily="34" charset="-122"/>
            </a:rPr>
            <a:t>积极培育、引导和扶持外包企业承接国内外包项目</a:t>
          </a:r>
          <a:r>
            <a:rPr lang="zh-CN" altLang="en-US" dirty="0" smtClean="0">
              <a:latin typeface="微软雅黑" pitchFamily="34" charset="-122"/>
              <a:ea typeface="微软雅黑" pitchFamily="34" charset="-122"/>
            </a:rPr>
            <a:t>；</a:t>
          </a:r>
          <a:endParaRPr lang="en-US" altLang="zh-CN" dirty="0" smtClean="0">
            <a:latin typeface="微软雅黑" pitchFamily="34" charset="-122"/>
            <a:ea typeface="微软雅黑" pitchFamily="34" charset="-122"/>
          </a:endParaRPr>
        </a:p>
      </dgm:t>
    </dgm:pt>
    <dgm:pt modelId="{19338319-6186-4D38-917E-6F11C52A764A}" type="parTrans" cxnId="{86E53AD3-1C08-43CE-8AEB-F9B3052EA2B8}">
      <dgm:prSet/>
      <dgm:spPr/>
      <dgm:t>
        <a:bodyPr/>
        <a:lstStyle/>
        <a:p>
          <a:endParaRPr lang="zh-CN" altLang="en-US"/>
        </a:p>
      </dgm:t>
    </dgm:pt>
    <dgm:pt modelId="{9F9B0660-BE01-41AF-B5A2-4060FCD9F4EA}" type="sibTrans" cxnId="{86E53AD3-1C08-43CE-8AEB-F9B3052EA2B8}">
      <dgm:prSet/>
      <dgm:spPr/>
      <dgm:t>
        <a:bodyPr/>
        <a:lstStyle/>
        <a:p>
          <a:endParaRPr lang="zh-CN" altLang="en-US"/>
        </a:p>
      </dgm:t>
    </dgm:pt>
    <dgm:pt modelId="{9E9F0827-AD5D-4DD0-8C09-685CDD601EE4}">
      <dgm:prSet/>
      <dgm:spPr/>
      <dgm:t>
        <a:bodyPr/>
        <a:lstStyle/>
        <a:p>
          <a:r>
            <a:rPr lang="zh-CN" altLang="zh-CN" dirty="0" smtClean="0">
              <a:latin typeface="微软雅黑" pitchFamily="34" charset="-122"/>
              <a:ea typeface="微软雅黑" pitchFamily="34" charset="-122"/>
            </a:rPr>
            <a:t>组织企业参加各类展览、论坛、推介会，企业人才培训、交流和引进等提供平台化、智能化专业服务</a:t>
          </a:r>
          <a:endParaRPr lang="en-US" altLang="zh-CN" dirty="0" smtClean="0">
            <a:latin typeface="微软雅黑" pitchFamily="34" charset="-122"/>
            <a:ea typeface="微软雅黑" pitchFamily="34" charset="-122"/>
          </a:endParaRPr>
        </a:p>
      </dgm:t>
    </dgm:pt>
    <dgm:pt modelId="{6AA1AD0E-C9C3-4CCF-82EF-CC1E9B27A244}" type="parTrans" cxnId="{2B0D77FE-2F72-4E50-B52B-9E1C9DE08261}">
      <dgm:prSet/>
      <dgm:spPr/>
      <dgm:t>
        <a:bodyPr/>
        <a:lstStyle/>
        <a:p>
          <a:endParaRPr lang="zh-CN" altLang="en-US"/>
        </a:p>
      </dgm:t>
    </dgm:pt>
    <dgm:pt modelId="{1912C5C1-FFB9-419A-9C5F-76A1F9BF763A}" type="sibTrans" cxnId="{2B0D77FE-2F72-4E50-B52B-9E1C9DE08261}">
      <dgm:prSet/>
      <dgm:spPr/>
      <dgm:t>
        <a:bodyPr/>
        <a:lstStyle/>
        <a:p>
          <a:endParaRPr lang="zh-CN" altLang="en-US"/>
        </a:p>
      </dgm:t>
    </dgm:pt>
    <dgm:pt modelId="{B289B820-2726-497E-92FF-92FA8FBCE288}" type="pres">
      <dgm:prSet presAssocID="{1CFD6736-E972-43FF-9728-39FF84642CFB}" presName="diagram" presStyleCnt="0">
        <dgm:presLayoutVars>
          <dgm:dir/>
          <dgm:resizeHandles val="exact"/>
        </dgm:presLayoutVars>
      </dgm:prSet>
      <dgm:spPr/>
      <dgm:t>
        <a:bodyPr/>
        <a:lstStyle/>
        <a:p>
          <a:endParaRPr lang="zh-CN" altLang="en-US"/>
        </a:p>
      </dgm:t>
    </dgm:pt>
    <dgm:pt modelId="{F1572D8E-D353-4628-AC50-553C836653A4}" type="pres">
      <dgm:prSet presAssocID="{75327E9F-C895-4D96-84E7-DFF5244E8118}" presName="node" presStyleLbl="node1" presStyleIdx="0" presStyleCnt="7">
        <dgm:presLayoutVars>
          <dgm:bulletEnabled val="1"/>
        </dgm:presLayoutVars>
      </dgm:prSet>
      <dgm:spPr/>
      <dgm:t>
        <a:bodyPr/>
        <a:lstStyle/>
        <a:p>
          <a:endParaRPr lang="zh-CN" altLang="en-US"/>
        </a:p>
      </dgm:t>
    </dgm:pt>
    <dgm:pt modelId="{92B0CBC2-FFC7-442C-8911-EEB87C2BC86C}" type="pres">
      <dgm:prSet presAssocID="{277FA277-D0E7-4ACD-B0BB-907E294D45A4}" presName="sibTrans" presStyleCnt="0"/>
      <dgm:spPr/>
    </dgm:pt>
    <dgm:pt modelId="{BCFED563-2889-4F11-83E8-799D75B5BC5A}" type="pres">
      <dgm:prSet presAssocID="{E683D88C-E79B-4925-81E6-176D9EBCDB74}" presName="node" presStyleLbl="node1" presStyleIdx="1" presStyleCnt="7">
        <dgm:presLayoutVars>
          <dgm:bulletEnabled val="1"/>
        </dgm:presLayoutVars>
      </dgm:prSet>
      <dgm:spPr/>
      <dgm:t>
        <a:bodyPr/>
        <a:lstStyle/>
        <a:p>
          <a:endParaRPr lang="zh-CN" altLang="en-US"/>
        </a:p>
      </dgm:t>
    </dgm:pt>
    <dgm:pt modelId="{61BF52AF-2667-4110-B016-B8CB3665A14A}" type="pres">
      <dgm:prSet presAssocID="{339BA4D1-2953-43FC-A499-468D3657E288}" presName="sibTrans" presStyleCnt="0"/>
      <dgm:spPr/>
    </dgm:pt>
    <dgm:pt modelId="{2F80155D-E45E-485A-A401-0B2A359731AE}" type="pres">
      <dgm:prSet presAssocID="{71E49FB0-1CF5-44C2-99AB-B1A94F227B81}" presName="node" presStyleLbl="node1" presStyleIdx="2" presStyleCnt="7">
        <dgm:presLayoutVars>
          <dgm:bulletEnabled val="1"/>
        </dgm:presLayoutVars>
      </dgm:prSet>
      <dgm:spPr/>
      <dgm:t>
        <a:bodyPr/>
        <a:lstStyle/>
        <a:p>
          <a:endParaRPr lang="zh-CN" altLang="en-US"/>
        </a:p>
      </dgm:t>
    </dgm:pt>
    <dgm:pt modelId="{77B735AE-7F2D-4BCC-8ACC-07F271C4F73D}" type="pres">
      <dgm:prSet presAssocID="{50A3CE2B-1343-406A-A586-B13CEFC1FE1A}" presName="sibTrans" presStyleCnt="0"/>
      <dgm:spPr/>
    </dgm:pt>
    <dgm:pt modelId="{0ADF612F-CD67-4F2A-8236-CEDCA7028C6B}" type="pres">
      <dgm:prSet presAssocID="{0CF900E5-E850-43AD-BD88-E107D86702F1}" presName="node" presStyleLbl="node1" presStyleIdx="3" presStyleCnt="7">
        <dgm:presLayoutVars>
          <dgm:bulletEnabled val="1"/>
        </dgm:presLayoutVars>
      </dgm:prSet>
      <dgm:spPr/>
      <dgm:t>
        <a:bodyPr/>
        <a:lstStyle/>
        <a:p>
          <a:endParaRPr lang="zh-CN" altLang="en-US"/>
        </a:p>
      </dgm:t>
    </dgm:pt>
    <dgm:pt modelId="{1FFCA520-3205-4D43-BF35-C2839213B1F2}" type="pres">
      <dgm:prSet presAssocID="{9729D92E-9442-4902-B1E4-BB3D18589B92}" presName="sibTrans" presStyleCnt="0"/>
      <dgm:spPr/>
    </dgm:pt>
    <dgm:pt modelId="{3593BD34-4022-46A3-A78A-667DF33F3726}" type="pres">
      <dgm:prSet presAssocID="{ABC88E4B-6D09-4E6C-BF2B-54A68F3B5DB6}" presName="node" presStyleLbl="node1" presStyleIdx="4" presStyleCnt="7">
        <dgm:presLayoutVars>
          <dgm:bulletEnabled val="1"/>
        </dgm:presLayoutVars>
      </dgm:prSet>
      <dgm:spPr/>
      <dgm:t>
        <a:bodyPr/>
        <a:lstStyle/>
        <a:p>
          <a:endParaRPr lang="zh-CN" altLang="en-US"/>
        </a:p>
      </dgm:t>
    </dgm:pt>
    <dgm:pt modelId="{7D189712-7B96-48EB-BC62-6532388F5D42}" type="pres">
      <dgm:prSet presAssocID="{D4BCC73F-076A-4029-8D0F-8401ADEAD84A}" presName="sibTrans" presStyleCnt="0"/>
      <dgm:spPr/>
    </dgm:pt>
    <dgm:pt modelId="{AE568EA5-1CE7-427F-A4A1-DE87ED4543D9}" type="pres">
      <dgm:prSet presAssocID="{E4E1996D-AF35-458F-BB46-70D921B27FE0}" presName="node" presStyleLbl="node1" presStyleIdx="5" presStyleCnt="7">
        <dgm:presLayoutVars>
          <dgm:bulletEnabled val="1"/>
        </dgm:presLayoutVars>
      </dgm:prSet>
      <dgm:spPr/>
      <dgm:t>
        <a:bodyPr/>
        <a:lstStyle/>
        <a:p>
          <a:endParaRPr lang="zh-CN" altLang="en-US"/>
        </a:p>
      </dgm:t>
    </dgm:pt>
    <dgm:pt modelId="{75AC6031-DD16-4559-A84A-9B586D87D1F0}" type="pres">
      <dgm:prSet presAssocID="{9F9B0660-BE01-41AF-B5A2-4060FCD9F4EA}" presName="sibTrans" presStyleCnt="0"/>
      <dgm:spPr/>
    </dgm:pt>
    <dgm:pt modelId="{EF465E65-E36E-4C6F-851F-22081F26707A}" type="pres">
      <dgm:prSet presAssocID="{9E9F0827-AD5D-4DD0-8C09-685CDD601EE4}" presName="node" presStyleLbl="node1" presStyleIdx="6" presStyleCnt="7">
        <dgm:presLayoutVars>
          <dgm:bulletEnabled val="1"/>
        </dgm:presLayoutVars>
      </dgm:prSet>
      <dgm:spPr/>
      <dgm:t>
        <a:bodyPr/>
        <a:lstStyle/>
        <a:p>
          <a:endParaRPr lang="zh-CN" altLang="en-US"/>
        </a:p>
      </dgm:t>
    </dgm:pt>
  </dgm:ptLst>
  <dgm:cxnLst>
    <dgm:cxn modelId="{86E53AD3-1C08-43CE-8AEB-F9B3052EA2B8}" srcId="{1CFD6736-E972-43FF-9728-39FF84642CFB}" destId="{E4E1996D-AF35-458F-BB46-70D921B27FE0}" srcOrd="5" destOrd="0" parTransId="{19338319-6186-4D38-917E-6F11C52A764A}" sibTransId="{9F9B0660-BE01-41AF-B5A2-4060FCD9F4EA}"/>
    <dgm:cxn modelId="{FF9821F0-6469-4B37-93AB-85BA9CC23643}" srcId="{1CFD6736-E972-43FF-9728-39FF84642CFB}" destId="{71E49FB0-1CF5-44C2-99AB-B1A94F227B81}" srcOrd="2" destOrd="0" parTransId="{09532C13-464A-4514-A4C7-B514290E829C}" sibTransId="{50A3CE2B-1343-406A-A586-B13CEFC1FE1A}"/>
    <dgm:cxn modelId="{33E615D7-34DF-4DE0-BDEE-97FB32088AD8}" type="presOf" srcId="{ABC88E4B-6D09-4E6C-BF2B-54A68F3B5DB6}" destId="{3593BD34-4022-46A3-A78A-667DF33F3726}" srcOrd="0" destOrd="0" presId="urn:microsoft.com/office/officeart/2005/8/layout/default#1"/>
    <dgm:cxn modelId="{A2566706-CFC6-4008-A5D7-E546C1DF3DBF}" srcId="{1CFD6736-E972-43FF-9728-39FF84642CFB}" destId="{0CF900E5-E850-43AD-BD88-E107D86702F1}" srcOrd="3" destOrd="0" parTransId="{527C7FA6-8649-49E3-B5F3-28102BF8760F}" sibTransId="{9729D92E-9442-4902-B1E4-BB3D18589B92}"/>
    <dgm:cxn modelId="{75072F04-9481-47E4-8A62-6C99F2FEBA8C}" type="presOf" srcId="{E4E1996D-AF35-458F-BB46-70D921B27FE0}" destId="{AE568EA5-1CE7-427F-A4A1-DE87ED4543D9}" srcOrd="0" destOrd="0" presId="urn:microsoft.com/office/officeart/2005/8/layout/default#1"/>
    <dgm:cxn modelId="{F89CF3F0-1B7C-4EE4-AED0-F72ED40CCB5D}" srcId="{1CFD6736-E972-43FF-9728-39FF84642CFB}" destId="{E683D88C-E79B-4925-81E6-176D9EBCDB74}" srcOrd="1" destOrd="0" parTransId="{1872A18E-D974-4D5E-B0F7-47268EC74BA8}" sibTransId="{339BA4D1-2953-43FC-A499-468D3657E288}"/>
    <dgm:cxn modelId="{74F2CFB4-3AA7-45FA-BA15-3E90683CCFE9}" type="presOf" srcId="{75327E9F-C895-4D96-84E7-DFF5244E8118}" destId="{F1572D8E-D353-4628-AC50-553C836653A4}" srcOrd="0" destOrd="0" presId="urn:microsoft.com/office/officeart/2005/8/layout/default#1"/>
    <dgm:cxn modelId="{8C95167E-2023-4F4F-A7B1-41D26FBD8592}" type="presOf" srcId="{E683D88C-E79B-4925-81E6-176D9EBCDB74}" destId="{BCFED563-2889-4F11-83E8-799D75B5BC5A}" srcOrd="0" destOrd="0" presId="urn:microsoft.com/office/officeart/2005/8/layout/default#1"/>
    <dgm:cxn modelId="{44C96AC7-79A1-4037-9667-CDE3179E6B4D}" type="presOf" srcId="{1CFD6736-E972-43FF-9728-39FF84642CFB}" destId="{B289B820-2726-497E-92FF-92FA8FBCE288}" srcOrd="0" destOrd="0" presId="urn:microsoft.com/office/officeart/2005/8/layout/default#1"/>
    <dgm:cxn modelId="{239A1EF5-E508-4DC7-895A-27D0DDAB30FB}" type="presOf" srcId="{0CF900E5-E850-43AD-BD88-E107D86702F1}" destId="{0ADF612F-CD67-4F2A-8236-CEDCA7028C6B}" srcOrd="0" destOrd="0" presId="urn:microsoft.com/office/officeart/2005/8/layout/default#1"/>
    <dgm:cxn modelId="{F1FDDE0D-AC1A-4A6D-8EE3-521C5C846F64}" type="presOf" srcId="{71E49FB0-1CF5-44C2-99AB-B1A94F227B81}" destId="{2F80155D-E45E-485A-A401-0B2A359731AE}" srcOrd="0" destOrd="0" presId="urn:microsoft.com/office/officeart/2005/8/layout/default#1"/>
    <dgm:cxn modelId="{F0CB965E-D3CA-4BD8-8861-96A4B413CD59}" srcId="{1CFD6736-E972-43FF-9728-39FF84642CFB}" destId="{ABC88E4B-6D09-4E6C-BF2B-54A68F3B5DB6}" srcOrd="4" destOrd="0" parTransId="{EA9328A4-2693-4870-A8DD-1DEA4072BB7B}" sibTransId="{D4BCC73F-076A-4029-8D0F-8401ADEAD84A}"/>
    <dgm:cxn modelId="{955EFE5F-4BE9-4DAA-B667-1A834AEC8E65}" type="presOf" srcId="{9E9F0827-AD5D-4DD0-8C09-685CDD601EE4}" destId="{EF465E65-E36E-4C6F-851F-22081F26707A}" srcOrd="0" destOrd="0" presId="urn:microsoft.com/office/officeart/2005/8/layout/default#1"/>
    <dgm:cxn modelId="{2B0D77FE-2F72-4E50-B52B-9E1C9DE08261}" srcId="{1CFD6736-E972-43FF-9728-39FF84642CFB}" destId="{9E9F0827-AD5D-4DD0-8C09-685CDD601EE4}" srcOrd="6" destOrd="0" parTransId="{6AA1AD0E-C9C3-4CCF-82EF-CC1E9B27A244}" sibTransId="{1912C5C1-FFB9-419A-9C5F-76A1F9BF763A}"/>
    <dgm:cxn modelId="{36B1F013-826D-457B-A55D-F52A7FC24790}" srcId="{1CFD6736-E972-43FF-9728-39FF84642CFB}" destId="{75327E9F-C895-4D96-84E7-DFF5244E8118}" srcOrd="0" destOrd="0" parTransId="{FFD34E42-7456-422B-8A0C-3681E96354F9}" sibTransId="{277FA277-D0E7-4ACD-B0BB-907E294D45A4}"/>
    <dgm:cxn modelId="{8E3CB789-07DF-4670-85B3-CBA85B4FC629}" type="presParOf" srcId="{B289B820-2726-497E-92FF-92FA8FBCE288}" destId="{F1572D8E-D353-4628-AC50-553C836653A4}" srcOrd="0" destOrd="0" presId="urn:microsoft.com/office/officeart/2005/8/layout/default#1"/>
    <dgm:cxn modelId="{D5A57FC1-9B4B-4D88-87B6-E8B1A0695298}" type="presParOf" srcId="{B289B820-2726-497E-92FF-92FA8FBCE288}" destId="{92B0CBC2-FFC7-442C-8911-EEB87C2BC86C}" srcOrd="1" destOrd="0" presId="urn:microsoft.com/office/officeart/2005/8/layout/default#1"/>
    <dgm:cxn modelId="{90575EDA-BB13-48F7-AEBF-0EE0E78AAA05}" type="presParOf" srcId="{B289B820-2726-497E-92FF-92FA8FBCE288}" destId="{BCFED563-2889-4F11-83E8-799D75B5BC5A}" srcOrd="2" destOrd="0" presId="urn:microsoft.com/office/officeart/2005/8/layout/default#1"/>
    <dgm:cxn modelId="{2A89F5D2-CC06-458B-B1A5-76E8FF04770A}" type="presParOf" srcId="{B289B820-2726-497E-92FF-92FA8FBCE288}" destId="{61BF52AF-2667-4110-B016-B8CB3665A14A}" srcOrd="3" destOrd="0" presId="urn:microsoft.com/office/officeart/2005/8/layout/default#1"/>
    <dgm:cxn modelId="{31CBFDCE-F8DF-431D-9068-3DD54600A89A}" type="presParOf" srcId="{B289B820-2726-497E-92FF-92FA8FBCE288}" destId="{2F80155D-E45E-485A-A401-0B2A359731AE}" srcOrd="4" destOrd="0" presId="urn:microsoft.com/office/officeart/2005/8/layout/default#1"/>
    <dgm:cxn modelId="{9DCF6F7C-40D8-476F-A3A7-A9B66F4E74F6}" type="presParOf" srcId="{B289B820-2726-497E-92FF-92FA8FBCE288}" destId="{77B735AE-7F2D-4BCC-8ACC-07F271C4F73D}" srcOrd="5" destOrd="0" presId="urn:microsoft.com/office/officeart/2005/8/layout/default#1"/>
    <dgm:cxn modelId="{72FE9BEF-FEF1-4AF2-8B0C-A1631521A06E}" type="presParOf" srcId="{B289B820-2726-497E-92FF-92FA8FBCE288}" destId="{0ADF612F-CD67-4F2A-8236-CEDCA7028C6B}" srcOrd="6" destOrd="0" presId="urn:microsoft.com/office/officeart/2005/8/layout/default#1"/>
    <dgm:cxn modelId="{1945DA8F-C8F1-46B4-8851-34EC364A0664}" type="presParOf" srcId="{B289B820-2726-497E-92FF-92FA8FBCE288}" destId="{1FFCA520-3205-4D43-BF35-C2839213B1F2}" srcOrd="7" destOrd="0" presId="urn:microsoft.com/office/officeart/2005/8/layout/default#1"/>
    <dgm:cxn modelId="{BB45C867-2E2C-4ACF-8B36-47A58B2FA604}" type="presParOf" srcId="{B289B820-2726-497E-92FF-92FA8FBCE288}" destId="{3593BD34-4022-46A3-A78A-667DF33F3726}" srcOrd="8" destOrd="0" presId="urn:microsoft.com/office/officeart/2005/8/layout/default#1"/>
    <dgm:cxn modelId="{4356E769-CAD4-4A2B-B892-4F81F00A6947}" type="presParOf" srcId="{B289B820-2726-497E-92FF-92FA8FBCE288}" destId="{7D189712-7B96-48EB-BC62-6532388F5D42}" srcOrd="9" destOrd="0" presId="urn:microsoft.com/office/officeart/2005/8/layout/default#1"/>
    <dgm:cxn modelId="{41B79F56-3678-4D0C-B49F-E86CBD68C4C4}" type="presParOf" srcId="{B289B820-2726-497E-92FF-92FA8FBCE288}" destId="{AE568EA5-1CE7-427F-A4A1-DE87ED4543D9}" srcOrd="10" destOrd="0" presId="urn:microsoft.com/office/officeart/2005/8/layout/default#1"/>
    <dgm:cxn modelId="{CCC4A394-BE06-49B1-B6B1-CA526D228AA5}" type="presParOf" srcId="{B289B820-2726-497E-92FF-92FA8FBCE288}" destId="{75AC6031-DD16-4559-A84A-9B586D87D1F0}" srcOrd="11" destOrd="0" presId="urn:microsoft.com/office/officeart/2005/8/layout/default#1"/>
    <dgm:cxn modelId="{60DC7EDA-A1F6-4E40-9170-345DC06858DA}" type="presParOf" srcId="{B289B820-2726-497E-92FF-92FA8FBCE288}" destId="{EF465E65-E36E-4C6F-851F-22081F26707A}" srcOrd="12" destOrd="0" presId="urn:microsoft.com/office/officeart/2005/8/layout/default#1"/>
  </dgm:cxnLst>
  <dgm:bg/>
  <dgm:whole/>
</dgm:dataModel>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89B97-F9DA-44D5-AC98-AA8D7F02C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30</Pages>
  <Words>1455</Words>
  <Characters>8300</Characters>
  <Application>Microsoft Office Word</Application>
  <DocSecurity>0</DocSecurity>
  <Lines>69</Lines>
  <Paragraphs>19</Paragraphs>
  <ScaleCrop>false</ScaleCrop>
  <Company>Sky123.Org</Company>
  <LinksUpToDate>false</LinksUpToDate>
  <CharactersWithSpaces>9736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2014-11-05T03:21:00Z</dcterms:created>
  <dcterms:modified xsi:type="dcterms:W3CDTF">2014-11-07T09:01:00Z</dcterms:modified>
</cp:coreProperties>
</file>